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4BB" w:rsidRPr="00F604BB" w:rsidRDefault="00F604BB" w:rsidP="00F604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515547162"/>
      <w:bookmarkStart w:id="1" w:name="_GoBack"/>
      <w:bookmarkEnd w:id="1"/>
      <w:r w:rsidRPr="00F604BB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7DF8CA07" wp14:editId="4C6B7D22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4BB" w:rsidRPr="00F604BB" w:rsidRDefault="00F604BB" w:rsidP="00F604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F604BB" w:rsidRPr="00F604BB" w:rsidRDefault="00F604BB" w:rsidP="00F604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0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F604BB" w:rsidRPr="00F604BB" w:rsidRDefault="00F604BB" w:rsidP="00F604BB">
      <w:pPr>
        <w:tabs>
          <w:tab w:val="left" w:pos="372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0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Сьомого скликання</w:t>
      </w:r>
    </w:p>
    <w:p w:rsidR="00F604BB" w:rsidRPr="00F604BB" w:rsidRDefault="00F604BB" w:rsidP="00F60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604B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 І Ш Е Н Н Я</w:t>
      </w:r>
    </w:p>
    <w:p w:rsidR="00F604BB" w:rsidRPr="00F604BB" w:rsidRDefault="00F604BB" w:rsidP="00F60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20 грудня 2019 року                с.Литовеж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33/3</w:t>
      </w:r>
    </w:p>
    <w:p w:rsidR="00F604BB" w:rsidRDefault="00F604BB" w:rsidP="00F604BB"/>
    <w:p w:rsidR="00F604BB" w:rsidRDefault="00F604BB" w:rsidP="00F604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4772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 </w:t>
      </w:r>
      <w:r>
        <w:rPr>
          <w:rFonts w:ascii="Times New Roman" w:hAnsi="Times New Roman" w:cs="Times New Roman"/>
          <w:b/>
          <w:sz w:val="28"/>
          <w:szCs w:val="28"/>
        </w:rPr>
        <w:t>Програми</w:t>
      </w:r>
    </w:p>
    <w:p w:rsidR="00F604BB" w:rsidRDefault="00F604BB" w:rsidP="00F604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04BB">
        <w:rPr>
          <w:rFonts w:ascii="Times New Roman" w:hAnsi="Times New Roman" w:cs="Times New Roman"/>
          <w:b/>
          <w:sz w:val="28"/>
          <w:szCs w:val="28"/>
        </w:rPr>
        <w:t xml:space="preserve">соціально-економічного та культурного </w:t>
      </w:r>
    </w:p>
    <w:p w:rsidR="00F604BB" w:rsidRPr="00F604BB" w:rsidRDefault="00F604BB" w:rsidP="00F604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04BB">
        <w:rPr>
          <w:rFonts w:ascii="Times New Roman" w:hAnsi="Times New Roman" w:cs="Times New Roman"/>
          <w:b/>
          <w:sz w:val="28"/>
          <w:szCs w:val="28"/>
        </w:rPr>
        <w:t>розвитку Литовезької сільської ради на 2017-2020 роки</w:t>
      </w:r>
    </w:p>
    <w:p w:rsidR="00F604BB" w:rsidRPr="00534772" w:rsidRDefault="00F604BB" w:rsidP="00F604BB">
      <w:p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Керуючись </w:t>
      </w:r>
      <w:r w:rsidRPr="0053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22, 26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враховуючи прохання та  </w:t>
      </w:r>
      <w:r w:rsidRPr="00A2603A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рекомендації комісії </w:t>
      </w:r>
      <w:r w:rsidRPr="00A2603A">
        <w:rPr>
          <w:rFonts w:ascii="Times New Roman" w:hAnsi="Times New Roman"/>
          <w:sz w:val="28"/>
          <w:szCs w:val="28"/>
        </w:rPr>
        <w:t>з питань</w:t>
      </w:r>
      <w:r w:rsidRPr="00F60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 питань бюджету, фінансів та планування соціально – економічного розвитку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, Литовезька сільська рада</w:t>
      </w:r>
    </w:p>
    <w:p w:rsidR="00F604BB" w:rsidRPr="00BB7A8D" w:rsidRDefault="00F604BB" w:rsidP="00F604BB">
      <w:p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04BB" w:rsidRPr="00534772" w:rsidRDefault="00F604BB" w:rsidP="00F604BB">
      <w:p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F604BB" w:rsidRPr="00534772" w:rsidRDefault="00F604BB" w:rsidP="00F604BB">
      <w:p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4BB" w:rsidRPr="005E48AD" w:rsidRDefault="00F604BB" w:rsidP="00F604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B7A8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Pr="00277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01.01.2020 року зміни та доповнення</w:t>
      </w:r>
      <w:r w:rsidRPr="00BB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5E48AD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r w:rsidRPr="00F604BB">
        <w:t xml:space="preserve"> </w:t>
      </w:r>
      <w:r w:rsidRPr="00F60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но-економічного та культурного </w:t>
      </w:r>
      <w:r w:rsidRPr="00F60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 Литовезької сільської ради на 2017-2020 роки</w:t>
      </w:r>
      <w:r w:rsidRPr="00BB7A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5347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затвердити Програму в новій редакції (додається).</w:t>
      </w:r>
    </w:p>
    <w:p w:rsidR="00F604BB" w:rsidRPr="00534772" w:rsidRDefault="00F604BB" w:rsidP="00F60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604BB" w:rsidRDefault="00F604BB" w:rsidP="00F604BB">
      <w:pPr>
        <w:tabs>
          <w:tab w:val="left" w:pos="22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347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 виконанням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рішення  покласти  на постійну комісію </w:t>
      </w:r>
      <w:r w:rsidRPr="005347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3477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сільської ради </w:t>
      </w:r>
    </w:p>
    <w:p w:rsidR="00F604BB" w:rsidRDefault="00F604BB" w:rsidP="00F604BB">
      <w:pPr>
        <w:tabs>
          <w:tab w:val="left" w:pos="22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hAnsi="Times New Roman"/>
          <w:sz w:val="28"/>
          <w:szCs w:val="28"/>
        </w:rPr>
        <w:t>з питань бюджету, фінансів та планування соціально – економічного розвитку.</w:t>
      </w:r>
    </w:p>
    <w:p w:rsidR="00F604BB" w:rsidRDefault="00F604BB" w:rsidP="00F604BB">
      <w:pPr>
        <w:tabs>
          <w:tab w:val="left" w:pos="22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604BB" w:rsidRDefault="00F604BB" w:rsidP="00F604BB">
      <w:pPr>
        <w:tabs>
          <w:tab w:val="left" w:pos="22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604BB" w:rsidRDefault="00F604BB" w:rsidP="00F604BB">
      <w:pPr>
        <w:tabs>
          <w:tab w:val="left" w:pos="22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604BB" w:rsidRDefault="00F604BB" w:rsidP="00F604BB">
      <w:pPr>
        <w:tabs>
          <w:tab w:val="left" w:pos="22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604BB" w:rsidRPr="00534772" w:rsidRDefault="00F604BB" w:rsidP="00F604BB">
      <w:pPr>
        <w:tabs>
          <w:tab w:val="left" w:pos="22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Сільський голова                                                                                        І.І.Іванчук</w:t>
      </w:r>
    </w:p>
    <w:p w:rsidR="00F604BB" w:rsidRDefault="00F604BB" w:rsidP="00F604BB"/>
    <w:p w:rsidR="00F604BB" w:rsidRDefault="00F604BB" w:rsidP="00F604BB"/>
    <w:p w:rsidR="00F604BB" w:rsidRDefault="00F604BB" w:rsidP="00F604BB"/>
    <w:p w:rsidR="00F604BB" w:rsidRDefault="00F604BB" w:rsidP="00F604BB"/>
    <w:p w:rsidR="00F604BB" w:rsidRDefault="00F604BB" w:rsidP="00F604BB"/>
    <w:p w:rsidR="00F604BB" w:rsidRDefault="00F604BB" w:rsidP="00F604BB"/>
    <w:p w:rsidR="00F604BB" w:rsidRDefault="00F604BB" w:rsidP="00F604BB"/>
    <w:p w:rsidR="00F604BB" w:rsidRDefault="00F604BB" w:rsidP="00F604BB"/>
    <w:p w:rsidR="00F604BB" w:rsidRDefault="00F604BB" w:rsidP="00BC0C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F604BB" w:rsidRDefault="00F604BB" w:rsidP="00BC0C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F604BB" w:rsidRDefault="00F604BB" w:rsidP="00BC0C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F604BB" w:rsidRDefault="00F604BB" w:rsidP="00BC0C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F604BB" w:rsidRDefault="00F604BB" w:rsidP="00BC0C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F604BB" w:rsidRDefault="00F604BB" w:rsidP="00BC0C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F830AF" w:rsidRPr="009F46FD" w:rsidRDefault="00800E45" w:rsidP="00BC0C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F830AF" w:rsidRPr="009F46F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ЗАТВЕРДЖЕНО</w:t>
      </w:r>
      <w:r w:rsidR="00F830AF" w:rsidRPr="009F46F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рішенням Литовезької сільської ради</w:t>
      </w:r>
      <w:r w:rsidR="00F830AF" w:rsidRPr="009F46F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№ 1/20 від 29.12.2016 р.</w:t>
      </w:r>
    </w:p>
    <w:p w:rsidR="00F830AF" w:rsidRDefault="00F830AF" w:rsidP="00BC0C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F46F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(із змінами №10/4 від 22.12.2017 р.)</w:t>
      </w:r>
    </w:p>
    <w:p w:rsidR="009B437E" w:rsidRPr="009F46FD" w:rsidRDefault="009B437E" w:rsidP="00BC0C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(зі змінами №33/3 від 20.12.2019 р.)</w:t>
      </w:r>
    </w:p>
    <w:p w:rsidR="00BC0C60" w:rsidRDefault="009B437E" w:rsidP="00BC0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    </w:t>
      </w:r>
    </w:p>
    <w:p w:rsidR="002C5BDC" w:rsidRPr="002C5BDC" w:rsidRDefault="002C5BDC" w:rsidP="00BC0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6F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ПРОГРАМА</w:t>
      </w:r>
    </w:p>
    <w:p w:rsidR="0008187A" w:rsidRDefault="0008187A" w:rsidP="00BC0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СОЦІАЛЬНО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-</w:t>
      </w: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ЕКОНОМІЧНОГО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ТА КУЛЬТУРНОГО РОЗВИТКУ ЛИТОВЕЗЬКОЇ СІЛЬСЬКОЇ РАДИ НА 2017-2020 РОКИ</w:t>
      </w:r>
    </w:p>
    <w:p w:rsidR="0008187A" w:rsidRDefault="0008187A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2C5BDC" w:rsidRPr="002C5BDC" w:rsidRDefault="002C5BDC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 Вступ</w:t>
      </w:r>
    </w:p>
    <w:p w:rsidR="0008187A" w:rsidRDefault="002C5BDC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 соціально</w:t>
      </w:r>
      <w:r w:rsidR="0008187A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економічного та культурного розвитку Литовезької сільської ради на 201</w:t>
      </w:r>
      <w:r w:rsidR="004A68F1">
        <w:rPr>
          <w:rFonts w:ascii="Times New Roman" w:eastAsia="Times New Roman" w:hAnsi="Times New Roman" w:cs="Times New Roman"/>
          <w:sz w:val="28"/>
          <w:szCs w:val="28"/>
          <w:lang w:eastAsia="uk-UA"/>
        </w:rPr>
        <w:t>7-2020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</w:t>
      </w:r>
      <w:r w:rsidR="004A68F1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4A68F1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</w:t>
      </w:r>
      <w:r w:rsidR="000818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Програма) розроблена 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Закону України </w:t>
      </w:r>
      <w:r w:rsidR="0008187A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державне прогнозування та розроблення програм економічного і соціального розвитку України</w:t>
      </w:r>
      <w:r w:rsidR="0008187A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Закону України «Про добровільне об’єднання територіальних громад», Закону України «Про місцеве самоврядування в Україні».</w:t>
      </w:r>
    </w:p>
    <w:p w:rsidR="0008187A" w:rsidRDefault="002C5BDC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Метою Програми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зростання добробуту і підвищення якості життя населення об’єднаної громади за рахунок забезпечення позитивних структурних зрушень в економіці, підвищення її конкурентоспроможності як основи для збалансованого зростання стандартів та показників економічного розвитку.</w:t>
      </w:r>
    </w:p>
    <w:p w:rsidR="0008187A" w:rsidRDefault="002C5BDC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визначає цілі, завдання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та основні заходи економічного,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соціального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культурного розвитку Литовезької 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об’єднаної територіальної громади 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201</w:t>
      </w:r>
      <w:r w:rsidR="004A68F1">
        <w:rPr>
          <w:rFonts w:ascii="Times New Roman" w:eastAsia="Times New Roman" w:hAnsi="Times New Roman" w:cs="Times New Roman"/>
          <w:sz w:val="28"/>
          <w:szCs w:val="28"/>
          <w:lang w:eastAsia="uk-UA"/>
        </w:rPr>
        <w:t>7-2020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</w:t>
      </w:r>
      <w:r w:rsidR="004A68F1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4A68F1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C0C60" w:rsidRDefault="00BC0C60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6066" w:rsidRPr="00BC0C60" w:rsidRDefault="00AE613C" w:rsidP="00BC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 w:rsidRPr="00460E9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uk-UA"/>
        </w:rPr>
        <w:t>1</w:t>
      </w:r>
      <w:r w:rsidRPr="00BC0C6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.1. </w:t>
      </w:r>
      <w:r w:rsidR="00ED6066" w:rsidRPr="00BC0C60">
        <w:rPr>
          <w:rFonts w:ascii="Times New Roman" w:hAnsi="Times New Roman" w:cs="Times New Roman"/>
          <w:sz w:val="28"/>
          <w:szCs w:val="28"/>
          <w:u w:val="single"/>
          <w:lang w:eastAsia="uk-UA"/>
        </w:rPr>
        <w:t>Пріоритетні цілі та завдання діяльності сільської ради на 2017 рік:</w:t>
      </w:r>
    </w:p>
    <w:p w:rsidR="00ED6066" w:rsidRPr="00ED6066" w:rsidRDefault="00ED6066" w:rsidP="00BC0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D6066">
        <w:rPr>
          <w:rFonts w:ascii="Times New Roman" w:hAnsi="Times New Roman" w:cs="Times New Roman"/>
          <w:sz w:val="28"/>
          <w:szCs w:val="28"/>
          <w:lang w:eastAsia="uk-UA"/>
        </w:rPr>
        <w:t>- розробка та виготовлення містобудівної, землевпорядної документації (проектно</w:t>
      </w:r>
      <w:r w:rsidRPr="00ED6066">
        <w:rPr>
          <w:rFonts w:ascii="Times New Roman" w:hAnsi="Times New Roman" w:cs="Times New Roman"/>
          <w:sz w:val="28"/>
          <w:szCs w:val="28"/>
          <w:lang w:eastAsia="uk-UA"/>
        </w:rPr>
        <w:noBreakHyphen/>
        <w:t>кошторисної документації, генеральних планів, планів зонування, технічної документації із землеустрою щодо проведення нормативної грошової оцінки земель населених пунктів);</w:t>
      </w:r>
    </w:p>
    <w:p w:rsidR="00ED6066" w:rsidRPr="00ED6066" w:rsidRDefault="00ED6066" w:rsidP="00BC0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D6066">
        <w:rPr>
          <w:rFonts w:ascii="Times New Roman" w:hAnsi="Times New Roman" w:cs="Times New Roman"/>
          <w:sz w:val="28"/>
          <w:szCs w:val="28"/>
          <w:lang w:eastAsia="uk-UA"/>
        </w:rPr>
        <w:t>- розвиток дошкільної та середньої освіти сільської ради, підвищення культурного рівня громади</w:t>
      </w:r>
      <w:r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ED6066" w:rsidRPr="00ED6066" w:rsidRDefault="00ED6066" w:rsidP="00BC0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D60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066">
        <w:rPr>
          <w:rFonts w:ascii="Times New Roman" w:hAnsi="Times New Roman" w:cs="Times New Roman"/>
          <w:sz w:val="28"/>
          <w:szCs w:val="28"/>
        </w:rPr>
        <w:t>підвищення якості надання адміністративних послуг, зокрема створення, модернізацію центру надання адміністративних послуг, придбання обладнання і програмного забезпечення;</w:t>
      </w:r>
    </w:p>
    <w:p w:rsidR="00ED6066" w:rsidRPr="00ED6066" w:rsidRDefault="00ED6066" w:rsidP="00BC0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066">
        <w:rPr>
          <w:rFonts w:ascii="Times New Roman" w:hAnsi="Times New Roman" w:cs="Times New Roman"/>
          <w:sz w:val="28"/>
          <w:szCs w:val="28"/>
        </w:rPr>
        <w:t>- організація централізованого вивозу побутових відходів, запровадження роздільного збору сміття, його переробка та реалізація за допомогою відновлення роботи житлово-комунального господарства Литовезької сільської ради;</w:t>
      </w:r>
    </w:p>
    <w:p w:rsidR="00ED6066" w:rsidRPr="00ED6066" w:rsidRDefault="00ED6066" w:rsidP="00BC0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066">
        <w:rPr>
          <w:rFonts w:ascii="Times New Roman" w:hAnsi="Times New Roman" w:cs="Times New Roman"/>
          <w:sz w:val="28"/>
          <w:szCs w:val="28"/>
        </w:rPr>
        <w:t>- розвиток та підвищення спроможності Комунального Господарства Литовезької сільської ради;</w:t>
      </w:r>
    </w:p>
    <w:p w:rsidR="00ED6066" w:rsidRPr="00ED6066" w:rsidRDefault="00ED6066" w:rsidP="00BC0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066">
        <w:rPr>
          <w:rFonts w:ascii="Times New Roman" w:hAnsi="Times New Roman" w:cs="Times New Roman"/>
          <w:sz w:val="28"/>
          <w:szCs w:val="28"/>
        </w:rPr>
        <w:t>- порядок здійснення та тримання території об’єктів благоустрою населених пунктів сільської ради;</w:t>
      </w:r>
    </w:p>
    <w:p w:rsidR="00ED6066" w:rsidRPr="00ED6066" w:rsidRDefault="00ED6066" w:rsidP="00BC0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066">
        <w:rPr>
          <w:rFonts w:ascii="Times New Roman" w:hAnsi="Times New Roman" w:cs="Times New Roman"/>
          <w:sz w:val="28"/>
          <w:szCs w:val="28"/>
        </w:rPr>
        <w:lastRenderedPageBreak/>
        <w:t>- захист населення і територій від надзвичайних ситуацій техногенного та природного характеру території;</w:t>
      </w:r>
    </w:p>
    <w:p w:rsidR="00AE613C" w:rsidRDefault="00ED6066" w:rsidP="00BC0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066">
        <w:rPr>
          <w:rFonts w:ascii="Times New Roman" w:hAnsi="Times New Roman" w:cs="Times New Roman"/>
          <w:sz w:val="28"/>
          <w:szCs w:val="28"/>
        </w:rPr>
        <w:t>- благоустрій кладовищ та пам’ятних міст поховання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C60" w:rsidRPr="009F46FD" w:rsidRDefault="00BC0C60" w:rsidP="00BC0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5BDC" w:rsidRPr="002C5BDC" w:rsidRDefault="002C5BDC" w:rsidP="00BC0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 Аналітична частина</w:t>
      </w:r>
    </w:p>
    <w:p w:rsidR="00E256B2" w:rsidRPr="00BC0C60" w:rsidRDefault="002C5BDC" w:rsidP="00BC0C6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географічне розташування, опис суміжних територій;</w:t>
      </w:r>
    </w:p>
    <w:p w:rsidR="004F294F" w:rsidRDefault="004F294F" w:rsidP="00BC0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4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Литовезька об’єднана територіальна громада була створена у грудні 2016 року. До об’єднаної громади увійшли 6 сіл: Литовеж, Заболотці, Біличі, Заставне, Кречів, Мовники. Громада знаходиться у південно-західній частині Волинської області. Центром є село Литовеж, яке розміщене неподалік від міста Нововолинськ. Загальна площа ОТГ становить 122,42 км</w:t>
      </w:r>
      <w:r w:rsidRPr="004F29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F294F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еквівалентно 12242 га. Наближеність території ОТГ до кордону з Республікою Польща (ЄС) та міста Нововолинськ є надзвичайно вигідним чинником у соціально-економічному розвитку території.</w:t>
      </w:r>
    </w:p>
    <w:p w:rsidR="00E256B2" w:rsidRPr="00FD1436" w:rsidRDefault="00E256B2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1436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Литовезька ОТГ займає вигідне для господарської і життєвої діяльності фізико-географічне положення, яке визначає особливості природних умов та природно-ресурсного потенціалу.</w:t>
      </w:r>
    </w:p>
    <w:p w:rsidR="00E256B2" w:rsidRDefault="00E256B2" w:rsidP="00BC0C60">
      <w:pPr>
        <w:pStyle w:val="Bodytext70"/>
        <w:shd w:val="clear" w:color="auto" w:fill="auto"/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uk-UA"/>
        </w:rPr>
      </w:pPr>
      <w:r w:rsidRPr="00FD1436">
        <w:rPr>
          <w:rFonts w:ascii="Times New Roman" w:hAnsi="Times New Roman"/>
          <w:b w:val="0"/>
          <w:sz w:val="28"/>
          <w:szCs w:val="28"/>
        </w:rPr>
        <w:t xml:space="preserve">Територія громади згідно з адміністративно-територіальним устроєм України входить до складу Іваничівського району Волинської області. Відстань від адміністративного центру громади до районного центру – </w:t>
      </w:r>
      <w:r w:rsidR="0015618E">
        <w:rPr>
          <w:rFonts w:ascii="Times New Roman" w:hAnsi="Times New Roman"/>
          <w:b w:val="0"/>
          <w:sz w:val="28"/>
          <w:szCs w:val="28"/>
        </w:rPr>
        <w:t>25</w:t>
      </w:r>
      <w:r w:rsidRPr="00FD1436">
        <w:rPr>
          <w:rFonts w:ascii="Times New Roman" w:hAnsi="Times New Roman"/>
          <w:b w:val="0"/>
          <w:sz w:val="28"/>
          <w:szCs w:val="28"/>
        </w:rPr>
        <w:t xml:space="preserve"> км. Відстань від адміністративного центру громади до обласного центру – 10</w:t>
      </w:r>
      <w:r w:rsidR="0015618E">
        <w:rPr>
          <w:rFonts w:ascii="Times New Roman" w:hAnsi="Times New Roman"/>
          <w:b w:val="0"/>
          <w:sz w:val="28"/>
          <w:szCs w:val="28"/>
        </w:rPr>
        <w:t>4</w:t>
      </w:r>
      <w:r w:rsidRPr="00FD1436">
        <w:rPr>
          <w:rFonts w:ascii="Times New Roman" w:hAnsi="Times New Roman"/>
          <w:b w:val="0"/>
          <w:sz w:val="28"/>
          <w:szCs w:val="28"/>
        </w:rPr>
        <w:t xml:space="preserve"> км.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D1436">
        <w:rPr>
          <w:rFonts w:ascii="Times New Roman" w:eastAsia="Times New Roman" w:hAnsi="Times New Roman" w:cs="Times New Roman"/>
          <w:b w:val="0"/>
          <w:sz w:val="28"/>
          <w:szCs w:val="28"/>
          <w:lang w:eastAsia="uk-UA"/>
        </w:rPr>
        <w:t>До найближчої залізничної вантажної станції – 10 км.</w:t>
      </w:r>
    </w:p>
    <w:p w:rsidR="006239D4" w:rsidRPr="006239D4" w:rsidRDefault="006239D4" w:rsidP="00BC0C60">
      <w:pPr>
        <w:pStyle w:val="Bodytext70"/>
        <w:shd w:val="clear" w:color="auto" w:fill="auto"/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sz w:val="20"/>
          <w:szCs w:val="28"/>
          <w:lang w:eastAsia="uk-UA"/>
        </w:rPr>
      </w:pPr>
    </w:p>
    <w:p w:rsidR="004F294F" w:rsidRDefault="00E256B2" w:rsidP="00BC0C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56B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Таблиця 1. </w:t>
      </w:r>
      <w:r w:rsidRPr="00E256B2">
        <w:rPr>
          <w:rFonts w:ascii="Times New Roman" w:hAnsi="Times New Roman" w:cs="Times New Roman"/>
          <w:b/>
          <w:i/>
          <w:sz w:val="24"/>
          <w:szCs w:val="24"/>
        </w:rPr>
        <w:t xml:space="preserve">Чисельність мешканців населених пунктів 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E256B2">
        <w:rPr>
          <w:rFonts w:ascii="Times New Roman" w:hAnsi="Times New Roman" w:cs="Times New Roman"/>
          <w:b/>
          <w:i/>
          <w:sz w:val="24"/>
          <w:szCs w:val="24"/>
        </w:rPr>
        <w:t>Литовезької ОТГ, району, області</w:t>
      </w:r>
    </w:p>
    <w:p w:rsidR="00E256B2" w:rsidRPr="00E256B2" w:rsidRDefault="00E256B2" w:rsidP="00BC0C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12"/>
          <w:szCs w:val="28"/>
          <w:lang w:eastAsia="ru-RU"/>
        </w:rPr>
      </w:pPr>
    </w:p>
    <w:tbl>
      <w:tblPr>
        <w:tblStyle w:val="-1"/>
        <w:tblW w:w="4749" w:type="pct"/>
        <w:jc w:val="center"/>
        <w:tblLook w:val="04A0" w:firstRow="1" w:lastRow="0" w:firstColumn="1" w:lastColumn="0" w:noHBand="0" w:noVBand="1"/>
      </w:tblPr>
      <w:tblGrid>
        <w:gridCol w:w="561"/>
        <w:gridCol w:w="5812"/>
        <w:gridCol w:w="2771"/>
      </w:tblGrid>
      <w:tr w:rsidR="004F294F" w:rsidRPr="0015618E" w:rsidTr="00156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shd w:val="clear" w:color="auto" w:fill="C9C9C9" w:themeFill="accent3" w:themeFillTint="99"/>
            <w:vAlign w:val="center"/>
          </w:tcPr>
          <w:p w:rsidR="004F294F" w:rsidRPr="0015618E" w:rsidRDefault="004F294F" w:rsidP="00BC0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177" w:type="pct"/>
            <w:shd w:val="clear" w:color="auto" w:fill="C9C9C9" w:themeFill="accent3" w:themeFillTint="99"/>
            <w:vAlign w:val="center"/>
          </w:tcPr>
          <w:p w:rsidR="004F294F" w:rsidRPr="0015618E" w:rsidRDefault="004F294F" w:rsidP="00BC0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Найменування територіальних громад та </w:t>
            </w:r>
          </w:p>
          <w:p w:rsidR="004F294F" w:rsidRPr="0015618E" w:rsidRDefault="004F294F" w:rsidP="00BC0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населених пунктів, які входять до її складу</w:t>
            </w:r>
          </w:p>
        </w:tc>
        <w:tc>
          <w:tcPr>
            <w:tcW w:w="1515" w:type="pct"/>
            <w:shd w:val="clear" w:color="auto" w:fill="C9C9C9" w:themeFill="accent3" w:themeFillTint="99"/>
            <w:vAlign w:val="center"/>
          </w:tcPr>
          <w:p w:rsidR="004F294F" w:rsidRPr="0015618E" w:rsidRDefault="004F294F" w:rsidP="00BC0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Кількість жителів</w:t>
            </w:r>
          </w:p>
          <w:p w:rsidR="004F294F" w:rsidRPr="0015618E" w:rsidRDefault="004F294F" w:rsidP="00BC0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(станом на 2016 рік)</w:t>
            </w:r>
          </w:p>
        </w:tc>
      </w:tr>
      <w:tr w:rsidR="004F294F" w:rsidRPr="0015618E" w:rsidTr="0015618E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4F294F" w:rsidRPr="0015618E" w:rsidRDefault="004F294F" w:rsidP="00BC0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177" w:type="pct"/>
            <w:vAlign w:val="center"/>
          </w:tcPr>
          <w:p w:rsidR="004F294F" w:rsidRPr="0015618E" w:rsidRDefault="004F294F" w:rsidP="00BC0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Литовеж</w:t>
            </w:r>
          </w:p>
        </w:tc>
        <w:tc>
          <w:tcPr>
            <w:tcW w:w="1515" w:type="pct"/>
            <w:vAlign w:val="center"/>
          </w:tcPr>
          <w:p w:rsidR="004F294F" w:rsidRPr="0015618E" w:rsidRDefault="004F294F" w:rsidP="00BC0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1355</w:t>
            </w:r>
          </w:p>
        </w:tc>
      </w:tr>
      <w:tr w:rsidR="004F294F" w:rsidRPr="0015618E" w:rsidTr="0015618E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4F294F" w:rsidRPr="0015618E" w:rsidRDefault="004F294F" w:rsidP="00BC0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177" w:type="pct"/>
            <w:vAlign w:val="center"/>
          </w:tcPr>
          <w:p w:rsidR="004F294F" w:rsidRPr="0015618E" w:rsidRDefault="004F294F" w:rsidP="00BC0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Заболотці</w:t>
            </w:r>
          </w:p>
        </w:tc>
        <w:tc>
          <w:tcPr>
            <w:tcW w:w="1515" w:type="pct"/>
            <w:vAlign w:val="center"/>
          </w:tcPr>
          <w:p w:rsidR="004F294F" w:rsidRPr="0015618E" w:rsidRDefault="004F294F" w:rsidP="00BC0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904</w:t>
            </w:r>
          </w:p>
        </w:tc>
      </w:tr>
      <w:tr w:rsidR="004F294F" w:rsidRPr="0015618E" w:rsidTr="0015618E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4F294F" w:rsidRPr="0015618E" w:rsidRDefault="004F294F" w:rsidP="00BC0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177" w:type="pct"/>
            <w:vAlign w:val="center"/>
          </w:tcPr>
          <w:p w:rsidR="004F294F" w:rsidRPr="0015618E" w:rsidRDefault="004F294F" w:rsidP="00BC0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Біличі</w:t>
            </w:r>
          </w:p>
        </w:tc>
        <w:tc>
          <w:tcPr>
            <w:tcW w:w="1515" w:type="pct"/>
            <w:vAlign w:val="center"/>
          </w:tcPr>
          <w:p w:rsidR="004F294F" w:rsidRPr="0015618E" w:rsidRDefault="004F294F" w:rsidP="00BC0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429</w:t>
            </w:r>
          </w:p>
        </w:tc>
      </w:tr>
      <w:tr w:rsidR="004F294F" w:rsidRPr="0015618E" w:rsidTr="0015618E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4F294F" w:rsidRPr="0015618E" w:rsidRDefault="004F294F" w:rsidP="00BC0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177" w:type="pct"/>
            <w:vAlign w:val="center"/>
          </w:tcPr>
          <w:p w:rsidR="004F294F" w:rsidRPr="0015618E" w:rsidRDefault="004F294F" w:rsidP="00BC0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Заставне</w:t>
            </w:r>
          </w:p>
        </w:tc>
        <w:tc>
          <w:tcPr>
            <w:tcW w:w="1515" w:type="pct"/>
            <w:vAlign w:val="center"/>
          </w:tcPr>
          <w:p w:rsidR="004F294F" w:rsidRPr="0015618E" w:rsidRDefault="004F294F" w:rsidP="00BC0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745</w:t>
            </w:r>
          </w:p>
        </w:tc>
      </w:tr>
      <w:tr w:rsidR="004F294F" w:rsidRPr="0015618E" w:rsidTr="0015618E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4F294F" w:rsidRPr="0015618E" w:rsidRDefault="004F294F" w:rsidP="00BC0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177" w:type="pct"/>
            <w:vAlign w:val="center"/>
          </w:tcPr>
          <w:p w:rsidR="004F294F" w:rsidRPr="0015618E" w:rsidRDefault="004F294F" w:rsidP="00BC0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Мовники</w:t>
            </w:r>
          </w:p>
        </w:tc>
        <w:tc>
          <w:tcPr>
            <w:tcW w:w="1515" w:type="pct"/>
            <w:vAlign w:val="center"/>
          </w:tcPr>
          <w:p w:rsidR="004F294F" w:rsidRPr="0015618E" w:rsidRDefault="004F294F" w:rsidP="00BC0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504</w:t>
            </w:r>
          </w:p>
        </w:tc>
      </w:tr>
      <w:tr w:rsidR="004F294F" w:rsidRPr="0015618E" w:rsidTr="0015618E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4F294F" w:rsidRPr="0015618E" w:rsidRDefault="004F294F" w:rsidP="00BC0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177" w:type="pct"/>
            <w:vAlign w:val="center"/>
          </w:tcPr>
          <w:p w:rsidR="004F294F" w:rsidRPr="0015618E" w:rsidRDefault="004F294F" w:rsidP="00BC0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Кречів</w:t>
            </w:r>
          </w:p>
        </w:tc>
        <w:tc>
          <w:tcPr>
            <w:tcW w:w="1515" w:type="pct"/>
            <w:vAlign w:val="center"/>
          </w:tcPr>
          <w:p w:rsidR="004F294F" w:rsidRPr="0015618E" w:rsidRDefault="004F294F" w:rsidP="00BC0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269</w:t>
            </w:r>
          </w:p>
        </w:tc>
      </w:tr>
      <w:tr w:rsidR="00E256B2" w:rsidRPr="0015618E" w:rsidTr="0015618E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shd w:val="clear" w:color="auto" w:fill="DBDBDB" w:themeFill="accent3" w:themeFillTint="66"/>
            <w:vAlign w:val="center"/>
          </w:tcPr>
          <w:p w:rsidR="004F294F" w:rsidRPr="0015618E" w:rsidRDefault="004F294F" w:rsidP="00BC0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177" w:type="pct"/>
            <w:shd w:val="clear" w:color="auto" w:fill="DBDBDB" w:themeFill="accent3" w:themeFillTint="66"/>
            <w:vAlign w:val="center"/>
          </w:tcPr>
          <w:p w:rsidR="004F294F" w:rsidRPr="0015618E" w:rsidRDefault="004F294F" w:rsidP="00BC0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Литовезька громада</w:t>
            </w:r>
          </w:p>
        </w:tc>
        <w:tc>
          <w:tcPr>
            <w:tcW w:w="1515" w:type="pct"/>
            <w:shd w:val="clear" w:color="auto" w:fill="DBDBDB" w:themeFill="accent3" w:themeFillTint="66"/>
            <w:vAlign w:val="center"/>
          </w:tcPr>
          <w:p w:rsidR="004F294F" w:rsidRPr="0015618E" w:rsidRDefault="004F294F" w:rsidP="00BC0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4206</w:t>
            </w:r>
          </w:p>
        </w:tc>
      </w:tr>
      <w:tr w:rsidR="00E256B2" w:rsidRPr="0015618E" w:rsidTr="0015618E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shd w:val="clear" w:color="auto" w:fill="7B7B7B" w:themeFill="accent3" w:themeFillShade="BF"/>
            <w:vAlign w:val="center"/>
          </w:tcPr>
          <w:p w:rsidR="004F294F" w:rsidRPr="0015618E" w:rsidRDefault="004F294F" w:rsidP="00BC0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3177" w:type="pct"/>
            <w:shd w:val="clear" w:color="auto" w:fill="7B7B7B" w:themeFill="accent3" w:themeFillShade="BF"/>
            <w:vAlign w:val="center"/>
          </w:tcPr>
          <w:p w:rsidR="004F294F" w:rsidRPr="0015618E" w:rsidRDefault="004F294F" w:rsidP="00BC0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Іваничівський район</w:t>
            </w:r>
          </w:p>
        </w:tc>
        <w:tc>
          <w:tcPr>
            <w:tcW w:w="1515" w:type="pct"/>
            <w:shd w:val="clear" w:color="auto" w:fill="7B7B7B" w:themeFill="accent3" w:themeFillShade="BF"/>
            <w:vAlign w:val="center"/>
          </w:tcPr>
          <w:p w:rsidR="004F294F" w:rsidRPr="0015618E" w:rsidRDefault="004F294F" w:rsidP="00BC0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35071</w:t>
            </w:r>
          </w:p>
        </w:tc>
      </w:tr>
      <w:tr w:rsidR="00E256B2" w:rsidRPr="0015618E" w:rsidTr="0015618E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shd w:val="clear" w:color="auto" w:fill="525252" w:themeFill="accent3" w:themeFillShade="80"/>
            <w:vAlign w:val="center"/>
          </w:tcPr>
          <w:p w:rsidR="004F294F" w:rsidRPr="0015618E" w:rsidRDefault="004F294F" w:rsidP="00BC0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177" w:type="pct"/>
            <w:shd w:val="clear" w:color="auto" w:fill="525252" w:themeFill="accent3" w:themeFillShade="80"/>
            <w:vAlign w:val="center"/>
          </w:tcPr>
          <w:p w:rsidR="004F294F" w:rsidRPr="0015618E" w:rsidRDefault="004F294F" w:rsidP="00BC0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Волинська область</w:t>
            </w:r>
          </w:p>
        </w:tc>
        <w:tc>
          <w:tcPr>
            <w:tcW w:w="1515" w:type="pct"/>
            <w:shd w:val="clear" w:color="auto" w:fill="525252" w:themeFill="accent3" w:themeFillShade="80"/>
            <w:vAlign w:val="center"/>
          </w:tcPr>
          <w:p w:rsidR="004F294F" w:rsidRPr="0015618E" w:rsidRDefault="004F294F" w:rsidP="00BC0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15618E">
              <w:rPr>
                <w:rFonts w:ascii="Times New Roman" w:hAnsi="Times New Roman" w:cs="Times New Roman"/>
                <w:sz w:val="24"/>
                <w:szCs w:val="28"/>
              </w:rPr>
              <w:t>1042271</w:t>
            </w:r>
          </w:p>
        </w:tc>
      </w:tr>
    </w:tbl>
    <w:p w:rsidR="004F294F" w:rsidRPr="004F294F" w:rsidRDefault="004F294F" w:rsidP="00BC0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B2" w:rsidRDefault="00E256B2" w:rsidP="00BC0C60">
      <w:pPr>
        <w:pStyle w:val="Bodytext70"/>
        <w:shd w:val="clear" w:color="auto" w:fill="auto"/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uk-UA"/>
        </w:rPr>
        <w:t>Клімат громади помірно-континентальний. Середньорічна температура повітря дорівнює +7 С</w:t>
      </w:r>
      <w:r>
        <w:rPr>
          <w:rFonts w:ascii="Times New Roman" w:eastAsia="Times New Roman" w:hAnsi="Times New Roman" w:cs="Times New Roman"/>
          <w:b w:val="0"/>
          <w:sz w:val="28"/>
          <w:szCs w:val="28"/>
          <w:vertAlign w:val="superscript"/>
          <w:lang w:eastAsia="uk-UA"/>
        </w:rPr>
        <w:t>0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uk-UA"/>
        </w:rPr>
        <w:t>. Середня температура найтеплішого місяця – липня – +18,8 С</w:t>
      </w:r>
      <w:r>
        <w:rPr>
          <w:rFonts w:ascii="Times New Roman" w:eastAsia="Times New Roman" w:hAnsi="Times New Roman" w:cs="Times New Roman"/>
          <w:b w:val="0"/>
          <w:sz w:val="28"/>
          <w:szCs w:val="28"/>
          <w:vertAlign w:val="superscript"/>
          <w:lang w:eastAsia="uk-UA"/>
        </w:rPr>
        <w:t>0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uk-UA"/>
        </w:rPr>
        <w:t>, а найхолоднішого – січня – -5,1 С</w:t>
      </w:r>
      <w:r>
        <w:rPr>
          <w:rFonts w:ascii="Times New Roman" w:eastAsia="Times New Roman" w:hAnsi="Times New Roman" w:cs="Times New Roman"/>
          <w:b w:val="0"/>
          <w:sz w:val="28"/>
          <w:szCs w:val="28"/>
          <w:vertAlign w:val="superscript"/>
          <w:lang w:eastAsia="uk-UA"/>
        </w:rPr>
        <w:t>0</w:t>
      </w:r>
      <w:r w:rsidRPr="009746C1">
        <w:rPr>
          <w:rFonts w:ascii="Times New Roman" w:eastAsia="Times New Roman" w:hAnsi="Times New Roman" w:cs="Times New Roman"/>
          <w:b w:val="0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uk-UA"/>
        </w:rPr>
        <w:t xml:space="preserve">Річна кількість опадів більше 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uk-UA"/>
        </w:rPr>
        <w:lastRenderedPageBreak/>
        <w:t>500 мм. Найбільше їх випадає у червні-серпні, найменше в січні. Днів із значною кількістю опадів, які дають не менше 10 мм води, в середньому 12 на рік. У середньому на рік спостерігається 43 дні з туманом, 13 – з хуртовинами, 140 сонячних днів. Середньорічна швидкість вітру дорівнює 4,0 метри за секунду. Протягом року переважають вітри західного та північно-західного напрямків, багато також випадків вітрів південно-східного та південного напрямків.</w:t>
      </w:r>
    </w:p>
    <w:p w:rsidR="00E256B2" w:rsidRPr="006239D4" w:rsidRDefault="00E256B2" w:rsidP="00BC0C60">
      <w:pPr>
        <w:pStyle w:val="Bodytext70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/>
          <w:b w:val="0"/>
          <w:sz w:val="20"/>
          <w:szCs w:val="28"/>
        </w:rPr>
      </w:pPr>
    </w:p>
    <w:p w:rsidR="00E256B2" w:rsidRDefault="00E256B2" w:rsidP="00BC0C60">
      <w:pPr>
        <w:pStyle w:val="ab"/>
        <w:keepNext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bookmarkStart w:id="2" w:name="_Toc536391593"/>
      <w:r w:rsidRPr="00E256B2"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Таблиця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2</w:t>
      </w:r>
      <w:r w:rsidRPr="00E256B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. Співвідношення кількості жителів громади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br/>
      </w:r>
      <w:r w:rsidRPr="00E256B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до населення району та області</w:t>
      </w:r>
      <w:bookmarkEnd w:id="2"/>
    </w:p>
    <w:p w:rsidR="00E256B2" w:rsidRDefault="00E256B2" w:rsidP="00BC0C6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-6"/>
        <w:tblW w:w="0" w:type="auto"/>
        <w:jc w:val="center"/>
        <w:tblLook w:val="04A0" w:firstRow="1" w:lastRow="0" w:firstColumn="1" w:lastColumn="0" w:noHBand="0" w:noVBand="1"/>
      </w:tblPr>
      <w:tblGrid>
        <w:gridCol w:w="1173"/>
        <w:gridCol w:w="1090"/>
        <w:gridCol w:w="2172"/>
        <w:gridCol w:w="1384"/>
        <w:gridCol w:w="2398"/>
        <w:gridCol w:w="1410"/>
      </w:tblGrid>
      <w:tr w:rsidR="00E256B2" w:rsidRPr="00FD1436" w:rsidTr="00E25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vAlign w:val="center"/>
          </w:tcPr>
          <w:p w:rsidR="00E256B2" w:rsidRPr="00EC620F" w:rsidRDefault="00E256B2" w:rsidP="00BC0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Регіони</w:t>
            </w:r>
          </w:p>
        </w:tc>
        <w:tc>
          <w:tcPr>
            <w:tcW w:w="1090" w:type="dxa"/>
            <w:vAlign w:val="center"/>
          </w:tcPr>
          <w:p w:rsidR="00E256B2" w:rsidRPr="00EC620F" w:rsidRDefault="00E256B2" w:rsidP="00BC0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Площа, км</w:t>
            </w:r>
            <w:r w:rsidRPr="00EC62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173" w:type="dxa"/>
            <w:vAlign w:val="center"/>
          </w:tcPr>
          <w:p w:rsidR="00E256B2" w:rsidRPr="00EC620F" w:rsidRDefault="00E256B2" w:rsidP="00BC0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 громади у % до загальної площі району/області</w:t>
            </w:r>
          </w:p>
        </w:tc>
        <w:tc>
          <w:tcPr>
            <w:tcW w:w="1384" w:type="dxa"/>
            <w:vAlign w:val="center"/>
          </w:tcPr>
          <w:p w:rsidR="00E256B2" w:rsidRPr="00EC620F" w:rsidRDefault="00E256B2" w:rsidP="00BC0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Населення</w:t>
            </w:r>
          </w:p>
        </w:tc>
        <w:tc>
          <w:tcPr>
            <w:tcW w:w="2399" w:type="dxa"/>
            <w:vAlign w:val="center"/>
          </w:tcPr>
          <w:p w:rsidR="00E256B2" w:rsidRPr="00EC620F" w:rsidRDefault="00E256B2" w:rsidP="00BC0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Населення громади у % до загального населення району/області</w:t>
            </w:r>
          </w:p>
        </w:tc>
        <w:tc>
          <w:tcPr>
            <w:tcW w:w="1410" w:type="dxa"/>
            <w:vAlign w:val="center"/>
          </w:tcPr>
          <w:p w:rsidR="00E256B2" w:rsidRPr="00EC620F" w:rsidRDefault="00E256B2" w:rsidP="00BC0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Густота населення</w:t>
            </w:r>
          </w:p>
        </w:tc>
      </w:tr>
      <w:tr w:rsidR="00E256B2" w:rsidRPr="00FD1436" w:rsidTr="00E25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vAlign w:val="center"/>
          </w:tcPr>
          <w:p w:rsidR="00E256B2" w:rsidRPr="00FD1436" w:rsidRDefault="00E256B2" w:rsidP="00BC0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Громада</w:t>
            </w:r>
          </w:p>
        </w:tc>
        <w:tc>
          <w:tcPr>
            <w:tcW w:w="1090" w:type="dxa"/>
            <w:vAlign w:val="center"/>
          </w:tcPr>
          <w:p w:rsidR="00E256B2" w:rsidRPr="00FD1436" w:rsidRDefault="00E256B2" w:rsidP="00BC0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122,42</w:t>
            </w:r>
          </w:p>
        </w:tc>
        <w:tc>
          <w:tcPr>
            <w:tcW w:w="2173" w:type="dxa"/>
            <w:vAlign w:val="center"/>
          </w:tcPr>
          <w:p w:rsidR="00E256B2" w:rsidRPr="00FD1436" w:rsidRDefault="00E256B2" w:rsidP="00BC0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E256B2" w:rsidRPr="00FD1436" w:rsidRDefault="00E256B2" w:rsidP="00BC0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4206</w:t>
            </w:r>
          </w:p>
        </w:tc>
        <w:tc>
          <w:tcPr>
            <w:tcW w:w="2399" w:type="dxa"/>
            <w:vAlign w:val="center"/>
          </w:tcPr>
          <w:p w:rsidR="00E256B2" w:rsidRPr="00FD1436" w:rsidRDefault="00E256B2" w:rsidP="00BC0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Align w:val="center"/>
          </w:tcPr>
          <w:p w:rsidR="00E256B2" w:rsidRPr="00FD1436" w:rsidRDefault="00E256B2" w:rsidP="00BC0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34,36</w:t>
            </w:r>
          </w:p>
        </w:tc>
      </w:tr>
      <w:tr w:rsidR="00E256B2" w:rsidRPr="00FD1436" w:rsidTr="00E256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vAlign w:val="center"/>
          </w:tcPr>
          <w:p w:rsidR="00E256B2" w:rsidRPr="00FD1436" w:rsidRDefault="00E256B2" w:rsidP="00BC0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090" w:type="dxa"/>
            <w:vAlign w:val="center"/>
          </w:tcPr>
          <w:p w:rsidR="00E256B2" w:rsidRPr="00FD1436" w:rsidRDefault="00E256B2" w:rsidP="00BC0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2173" w:type="dxa"/>
            <w:vAlign w:val="center"/>
          </w:tcPr>
          <w:p w:rsidR="00E256B2" w:rsidRPr="00FD1436" w:rsidRDefault="00E256B2" w:rsidP="00BC0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19 %</w:t>
            </w:r>
          </w:p>
        </w:tc>
        <w:tc>
          <w:tcPr>
            <w:tcW w:w="1384" w:type="dxa"/>
            <w:vAlign w:val="center"/>
          </w:tcPr>
          <w:p w:rsidR="00E256B2" w:rsidRPr="00FD1436" w:rsidRDefault="00E256B2" w:rsidP="00BC0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35071</w:t>
            </w:r>
          </w:p>
        </w:tc>
        <w:tc>
          <w:tcPr>
            <w:tcW w:w="2399" w:type="dxa"/>
            <w:vAlign w:val="center"/>
          </w:tcPr>
          <w:p w:rsidR="00E256B2" w:rsidRPr="00FD1436" w:rsidRDefault="00E256B2" w:rsidP="00BC0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12 %</w:t>
            </w:r>
          </w:p>
        </w:tc>
        <w:tc>
          <w:tcPr>
            <w:tcW w:w="1410" w:type="dxa"/>
            <w:vAlign w:val="center"/>
          </w:tcPr>
          <w:p w:rsidR="00E256B2" w:rsidRPr="00FD1436" w:rsidRDefault="00E256B2" w:rsidP="00BC0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54,37</w:t>
            </w:r>
          </w:p>
        </w:tc>
      </w:tr>
      <w:tr w:rsidR="00E256B2" w:rsidRPr="00FD1436" w:rsidTr="00E25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vAlign w:val="center"/>
          </w:tcPr>
          <w:p w:rsidR="00E256B2" w:rsidRPr="00FD1436" w:rsidRDefault="00E256B2" w:rsidP="00BC0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090" w:type="dxa"/>
            <w:vAlign w:val="center"/>
          </w:tcPr>
          <w:p w:rsidR="00E256B2" w:rsidRPr="00FD1436" w:rsidRDefault="00E256B2" w:rsidP="00BC0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20144</w:t>
            </w:r>
          </w:p>
        </w:tc>
        <w:tc>
          <w:tcPr>
            <w:tcW w:w="2173" w:type="dxa"/>
            <w:vAlign w:val="center"/>
          </w:tcPr>
          <w:p w:rsidR="00E256B2" w:rsidRPr="00FD1436" w:rsidRDefault="00E256B2" w:rsidP="00BC0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0,6 %</w:t>
            </w:r>
          </w:p>
        </w:tc>
        <w:tc>
          <w:tcPr>
            <w:tcW w:w="1384" w:type="dxa"/>
            <w:vAlign w:val="center"/>
          </w:tcPr>
          <w:p w:rsidR="00E256B2" w:rsidRPr="00FD1436" w:rsidRDefault="00E256B2" w:rsidP="00BC0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36">
              <w:rPr>
                <w:rFonts w:ascii="Times New Roman" w:hAnsi="Times New Roman" w:cs="Times New Roman"/>
                <w:sz w:val="24"/>
                <w:szCs w:val="24"/>
              </w:rPr>
              <w:t>1042271</w:t>
            </w:r>
          </w:p>
        </w:tc>
        <w:tc>
          <w:tcPr>
            <w:tcW w:w="2399" w:type="dxa"/>
            <w:vAlign w:val="center"/>
          </w:tcPr>
          <w:p w:rsidR="00E256B2" w:rsidRPr="00FD1436" w:rsidRDefault="00E256B2" w:rsidP="00BC0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0,4 %</w:t>
            </w:r>
          </w:p>
        </w:tc>
        <w:tc>
          <w:tcPr>
            <w:tcW w:w="1410" w:type="dxa"/>
            <w:vAlign w:val="center"/>
          </w:tcPr>
          <w:p w:rsidR="00E256B2" w:rsidRPr="00FD1436" w:rsidRDefault="00E256B2" w:rsidP="00BC0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51,74</w:t>
            </w:r>
          </w:p>
        </w:tc>
      </w:tr>
    </w:tbl>
    <w:p w:rsidR="00E256B2" w:rsidRDefault="00E256B2" w:rsidP="00BC0C60">
      <w:pPr>
        <w:pStyle w:val="Bodytext70"/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E256B2" w:rsidRPr="00B26369" w:rsidRDefault="00E256B2" w:rsidP="00BC0C60">
      <w:pPr>
        <w:pStyle w:val="Bodytext70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26369">
        <w:rPr>
          <w:rFonts w:ascii="Times New Roman" w:hAnsi="Times New Roman"/>
          <w:b w:val="0"/>
          <w:sz w:val="28"/>
          <w:szCs w:val="28"/>
        </w:rPr>
        <w:t>Литовезька ОТГ межує</w:t>
      </w:r>
      <w:r>
        <w:rPr>
          <w:rFonts w:ascii="Times New Roman" w:hAnsi="Times New Roman"/>
          <w:b w:val="0"/>
          <w:sz w:val="28"/>
          <w:szCs w:val="28"/>
        </w:rPr>
        <w:t xml:space="preserve"> з </w:t>
      </w:r>
      <w:r>
        <w:rPr>
          <w:rFonts w:ascii="Times New Roman" w:hAnsi="Times New Roman" w:cs="Times New Roman"/>
          <w:b w:val="0"/>
          <w:sz w:val="28"/>
          <w:szCs w:val="28"/>
        </w:rPr>
        <w:t>територією</w:t>
      </w:r>
      <w:r w:rsidRPr="00B26369">
        <w:rPr>
          <w:rFonts w:ascii="Times New Roman" w:hAnsi="Times New Roman"/>
          <w:b w:val="0"/>
          <w:sz w:val="28"/>
          <w:szCs w:val="28"/>
        </w:rPr>
        <w:t xml:space="preserve">: </w:t>
      </w:r>
    </w:p>
    <w:p w:rsidR="00E256B2" w:rsidRPr="009F46FD" w:rsidRDefault="00E256B2" w:rsidP="00BC0C60">
      <w:pPr>
        <w:pStyle w:val="Bodytext70"/>
        <w:numPr>
          <w:ilvl w:val="0"/>
          <w:numId w:val="8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9F46FD">
        <w:rPr>
          <w:rFonts w:ascii="Times New Roman" w:hAnsi="Times New Roman" w:cs="Times New Roman"/>
          <w:b w:val="0"/>
          <w:sz w:val="28"/>
          <w:szCs w:val="28"/>
        </w:rPr>
        <w:t>ґ</w:t>
      </w:r>
      <w:r w:rsidRPr="009F46FD">
        <w:rPr>
          <w:rFonts w:ascii="Times New Roman" w:hAnsi="Times New Roman"/>
          <w:b w:val="0"/>
          <w:sz w:val="28"/>
          <w:szCs w:val="28"/>
        </w:rPr>
        <w:t xml:space="preserve">міни Долгобичув і </w:t>
      </w:r>
      <w:r w:rsidRPr="009F46FD">
        <w:rPr>
          <w:rFonts w:ascii="Times New Roman" w:hAnsi="Times New Roman" w:cs="Times New Roman"/>
          <w:b w:val="0"/>
          <w:sz w:val="28"/>
          <w:szCs w:val="28"/>
        </w:rPr>
        <w:t>ґ</w:t>
      </w:r>
      <w:r w:rsidRPr="009F46FD">
        <w:rPr>
          <w:rFonts w:ascii="Times New Roman" w:hAnsi="Times New Roman"/>
          <w:b w:val="0"/>
          <w:sz w:val="28"/>
          <w:szCs w:val="28"/>
        </w:rPr>
        <w:t>міни Мірче Грубешівського повіту Люблінського воєводства (Республіка Польща) із заходу;</w:t>
      </w:r>
    </w:p>
    <w:p w:rsidR="00E256B2" w:rsidRPr="009F46FD" w:rsidRDefault="00E256B2" w:rsidP="00BC0C60">
      <w:pPr>
        <w:pStyle w:val="Bodytext70"/>
        <w:numPr>
          <w:ilvl w:val="0"/>
          <w:numId w:val="8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9F46FD">
        <w:rPr>
          <w:rFonts w:ascii="Times New Roman" w:hAnsi="Times New Roman"/>
          <w:b w:val="0"/>
          <w:sz w:val="28"/>
          <w:szCs w:val="28"/>
        </w:rPr>
        <w:t>Поромівської ОТГ, Грибовицької сільської ради Іваничівського району Волинської області, Благодатної селищної ради (Нововолинська міська рада Волинської області) з півночі;</w:t>
      </w:r>
    </w:p>
    <w:p w:rsidR="00E256B2" w:rsidRPr="009F46FD" w:rsidRDefault="00E256B2" w:rsidP="00BC0C60">
      <w:pPr>
        <w:pStyle w:val="Bodytext70"/>
        <w:numPr>
          <w:ilvl w:val="0"/>
          <w:numId w:val="8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9F46FD">
        <w:rPr>
          <w:rFonts w:ascii="Times New Roman" w:hAnsi="Times New Roman"/>
          <w:b w:val="0"/>
          <w:sz w:val="28"/>
          <w:szCs w:val="28"/>
        </w:rPr>
        <w:t>Іваничівської ОТГ Волинської області на сході;</w:t>
      </w:r>
    </w:p>
    <w:p w:rsidR="002C5BDC" w:rsidRPr="000449F9" w:rsidRDefault="00E256B2" w:rsidP="00BC0C60">
      <w:pPr>
        <w:pStyle w:val="Bodytext70"/>
        <w:numPr>
          <w:ilvl w:val="0"/>
          <w:numId w:val="8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9F46FD">
        <w:rPr>
          <w:rFonts w:ascii="Times New Roman" w:hAnsi="Times New Roman"/>
          <w:b w:val="0"/>
          <w:sz w:val="28"/>
          <w:szCs w:val="28"/>
        </w:rPr>
        <w:t>Скоморохівської сільської ради, Телязької</w:t>
      </w:r>
      <w:r>
        <w:rPr>
          <w:rFonts w:ascii="Times New Roman" w:hAnsi="Times New Roman"/>
          <w:b w:val="0"/>
          <w:sz w:val="28"/>
          <w:szCs w:val="28"/>
        </w:rPr>
        <w:t xml:space="preserve"> сільської ради, Тудорковичівської сільської ради Сокальського району Львівської області </w:t>
      </w:r>
      <w:r w:rsidRPr="00B26369">
        <w:rPr>
          <w:rFonts w:ascii="Times New Roman" w:hAnsi="Times New Roman"/>
          <w:b w:val="0"/>
          <w:sz w:val="28"/>
          <w:szCs w:val="28"/>
        </w:rPr>
        <w:t>на півдні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2C5BDC" w:rsidRDefault="000449F9" w:rsidP="00BC0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AA576E7" wp14:editId="78CF4E56">
            <wp:extent cx="5796318" cy="3971925"/>
            <wp:effectExtent l="0" t="0" r="0" b="0"/>
            <wp:docPr id="1035" name="Рисунок 1035" descr="D:\Робоча\СТРАТЕГІЯ\громад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обоча\СТРАТЕГІЯ\громада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234" cy="397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BDC"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0449F9" w:rsidRPr="000449F9" w:rsidRDefault="000449F9" w:rsidP="00BC0C60">
      <w:pPr>
        <w:pStyle w:val="ab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bookmarkStart w:id="3" w:name="_Toc536391647"/>
      <w:r w:rsidRPr="000449F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Рисунок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</w:t>
      </w:r>
      <w:r w:rsidRPr="000449F9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. Мапа Литовезької об’єднаної територіальної громади</w:t>
      </w:r>
      <w:bookmarkEnd w:id="3"/>
    </w:p>
    <w:p w:rsidR="000449F9" w:rsidRDefault="000449F9" w:rsidP="00BC0C6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0449F9" w:rsidRPr="00FD1436" w:rsidRDefault="000449F9" w:rsidP="00BC0C6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D143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Гідрографічна сітка громади представлена річкою Західний Буг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 обтікає 52 км кордону громади)</w:t>
      </w:r>
      <w:r w:rsidRPr="00FD143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річкою Берізкою; озерами</w:t>
      </w:r>
      <w:r w:rsidRPr="00FD143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Целебне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Бездонне;</w:t>
      </w:r>
      <w:r w:rsidRPr="00FD143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ставками</w:t>
      </w:r>
      <w:r w:rsidRPr="00FD14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 (у с. Литовеж – 1 ставок (площа – 9,97 га), у с. Мовники – 2 ставки, (площа – 2,09 га та 2,9873 га), у с. Кречів – 1 ставок (площа – 0,7 га), у с. Заставне – 3 ставки (площа – 6,32 га, 2,77 га, 1,2 га), у с. Заболотці – 1 ставок (площа – 4 га) т</w:t>
      </w:r>
      <w:r w:rsidRPr="00FD143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 технічними водоймами.</w:t>
      </w:r>
    </w:p>
    <w:p w:rsidR="000449F9" w:rsidRDefault="000449F9" w:rsidP="00BC0C6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D143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Площа лісового фонду становить 1532,49 га. Ліси змішані. На території громади є родовища кам’яного вугілля та піску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а також розташовані природний ландшафтний заказник</w:t>
      </w:r>
      <w:r w:rsidRPr="00FD143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«Заставненський» – площею 156 га 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загальнозоологічний заказник </w:t>
      </w:r>
      <w:r w:rsidRPr="00FD143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«Прибужжя» – площею 110 га.</w:t>
      </w:r>
    </w:p>
    <w:p w:rsidR="000449F9" w:rsidRPr="000449F9" w:rsidRDefault="000449F9" w:rsidP="00BC0C6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8"/>
          <w:lang w:eastAsia="uk-UA"/>
        </w:rPr>
      </w:pPr>
    </w:p>
    <w:p w:rsidR="000449F9" w:rsidRPr="000449F9" w:rsidRDefault="000449F9" w:rsidP="00BC0C60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</w:pPr>
      <w:r w:rsidRPr="000449F9">
        <w:rPr>
          <w:rFonts w:ascii="Times New Roman" w:hAnsi="Times New Roman" w:cs="Times New Roman"/>
          <w:b/>
          <w:i/>
          <w:sz w:val="24"/>
          <w:szCs w:val="24"/>
        </w:rPr>
        <w:t>Таблиця 3. Структура земель за правом власності</w:t>
      </w: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1985"/>
        <w:gridCol w:w="2814"/>
        <w:gridCol w:w="2570"/>
        <w:gridCol w:w="2268"/>
      </w:tblGrid>
      <w:tr w:rsidR="000449F9" w:rsidRPr="0015618E" w:rsidTr="00044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0449F9" w:rsidRPr="0015618E" w:rsidRDefault="000449F9" w:rsidP="00BC0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Всього</w:t>
            </w:r>
          </w:p>
          <w:p w:rsidR="000449F9" w:rsidRPr="0015618E" w:rsidRDefault="000449F9" w:rsidP="00BC0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(га)</w:t>
            </w:r>
          </w:p>
        </w:tc>
        <w:tc>
          <w:tcPr>
            <w:tcW w:w="2815" w:type="dxa"/>
            <w:vAlign w:val="center"/>
          </w:tcPr>
          <w:p w:rsidR="000449F9" w:rsidRPr="0015618E" w:rsidRDefault="000449F9" w:rsidP="00BC0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618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Приватна власність</w:t>
            </w:r>
          </w:p>
          <w:p w:rsidR="000449F9" w:rsidRPr="0015618E" w:rsidRDefault="000449F9" w:rsidP="00BC0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(га)</w:t>
            </w:r>
          </w:p>
        </w:tc>
        <w:tc>
          <w:tcPr>
            <w:tcW w:w="2571" w:type="dxa"/>
            <w:vAlign w:val="center"/>
          </w:tcPr>
          <w:p w:rsidR="000449F9" w:rsidRPr="0015618E" w:rsidRDefault="000449F9" w:rsidP="00BC0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618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Державна власність</w:t>
            </w:r>
          </w:p>
          <w:p w:rsidR="000449F9" w:rsidRPr="0015618E" w:rsidRDefault="000449F9" w:rsidP="00BC0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(га)</w:t>
            </w:r>
          </w:p>
        </w:tc>
        <w:tc>
          <w:tcPr>
            <w:tcW w:w="2268" w:type="dxa"/>
            <w:vAlign w:val="center"/>
          </w:tcPr>
          <w:p w:rsidR="000449F9" w:rsidRPr="0015618E" w:rsidRDefault="000449F9" w:rsidP="00BC0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618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Комунальна власність</w:t>
            </w:r>
          </w:p>
          <w:p w:rsidR="000449F9" w:rsidRPr="0015618E" w:rsidRDefault="000449F9" w:rsidP="00BC0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(га)</w:t>
            </w:r>
          </w:p>
        </w:tc>
      </w:tr>
      <w:tr w:rsidR="000449F9" w:rsidRPr="0015618E" w:rsidTr="00156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0449F9" w:rsidRPr="0015618E" w:rsidRDefault="000449F9" w:rsidP="00BC0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12242,2</w:t>
            </w:r>
          </w:p>
        </w:tc>
        <w:tc>
          <w:tcPr>
            <w:tcW w:w="2815" w:type="dxa"/>
            <w:vAlign w:val="center"/>
          </w:tcPr>
          <w:p w:rsidR="000449F9" w:rsidRPr="0015618E" w:rsidRDefault="000449F9" w:rsidP="00BC0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uk-UA"/>
              </w:rPr>
            </w:pPr>
            <w:r w:rsidRPr="0015618E">
              <w:rPr>
                <w:rFonts w:ascii="Times New Roman" w:hAnsi="Times New Roman" w:cs="Times New Roman"/>
                <w:color w:val="000000"/>
                <w:sz w:val="24"/>
              </w:rPr>
              <w:t>6864,8409 </w:t>
            </w:r>
          </w:p>
        </w:tc>
        <w:tc>
          <w:tcPr>
            <w:tcW w:w="2571" w:type="dxa"/>
            <w:vAlign w:val="center"/>
          </w:tcPr>
          <w:p w:rsidR="000449F9" w:rsidRPr="0015618E" w:rsidRDefault="000449F9" w:rsidP="00BC0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uk-UA"/>
              </w:rPr>
            </w:pPr>
            <w:r w:rsidRPr="0015618E">
              <w:rPr>
                <w:rFonts w:ascii="Times New Roman" w:hAnsi="Times New Roman" w:cs="Times New Roman"/>
                <w:color w:val="000000"/>
                <w:sz w:val="24"/>
              </w:rPr>
              <w:t>5339,1553 </w:t>
            </w:r>
          </w:p>
        </w:tc>
        <w:tc>
          <w:tcPr>
            <w:tcW w:w="2268" w:type="dxa"/>
            <w:vAlign w:val="center"/>
          </w:tcPr>
          <w:p w:rsidR="000449F9" w:rsidRPr="0015618E" w:rsidRDefault="000449F9" w:rsidP="00BC0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uk-UA"/>
              </w:rPr>
            </w:pPr>
            <w:r w:rsidRPr="0015618E">
              <w:rPr>
                <w:rFonts w:ascii="Times New Roman" w:hAnsi="Times New Roman" w:cs="Times New Roman"/>
                <w:color w:val="000000"/>
                <w:sz w:val="24"/>
              </w:rPr>
              <w:t>38,2038 </w:t>
            </w:r>
          </w:p>
        </w:tc>
      </w:tr>
    </w:tbl>
    <w:p w:rsidR="000449F9" w:rsidRDefault="000449F9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25136B" w:rsidRPr="0015618E" w:rsidRDefault="002C5BDC" w:rsidP="00BC0C60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449F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демографічна ситуація, ринок праці;</w:t>
      </w:r>
    </w:p>
    <w:p w:rsidR="0025136B" w:rsidRPr="0025136B" w:rsidRDefault="0025136B" w:rsidP="00BC0C6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136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</w:t>
      </w:r>
      <w:r w:rsidR="00FF57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кількість населення </w:t>
      </w:r>
      <w:r w:rsidRPr="0025136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4206</w:t>
      </w:r>
    </w:p>
    <w:p w:rsidR="0025136B" w:rsidRPr="0025136B" w:rsidRDefault="0025136B" w:rsidP="00BC0C6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136B">
        <w:rPr>
          <w:rFonts w:ascii="Times New Roman" w:eastAsia="Times New Roman" w:hAnsi="Times New Roman" w:cs="Times New Roman"/>
          <w:sz w:val="28"/>
          <w:szCs w:val="28"/>
          <w:lang w:eastAsia="uk-UA"/>
        </w:rPr>
        <w:t>Одинокі громадяни</w:t>
      </w:r>
      <w:r w:rsidRPr="0025136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90</w:t>
      </w:r>
    </w:p>
    <w:p w:rsidR="0025136B" w:rsidRPr="0025136B" w:rsidRDefault="0025136B" w:rsidP="00BC0C6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136B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прац</w:t>
      </w:r>
      <w:r w:rsidR="00FF57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ездатного населення </w:t>
      </w:r>
      <w:r w:rsidRPr="0025136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2200</w:t>
      </w:r>
    </w:p>
    <w:p w:rsidR="0025136B" w:rsidRPr="0025136B" w:rsidRDefault="0025136B" w:rsidP="00BC0C6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136B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непра</w:t>
      </w:r>
      <w:r w:rsidR="00FF57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цездатного населення </w:t>
      </w:r>
      <w:r w:rsidRPr="0025136B">
        <w:rPr>
          <w:rFonts w:ascii="Times New Roman" w:eastAsia="Times New Roman" w:hAnsi="Times New Roman" w:cs="Times New Roman"/>
          <w:sz w:val="28"/>
          <w:szCs w:val="28"/>
          <w:lang w:eastAsia="uk-UA"/>
        </w:rPr>
        <w:t>1806</w:t>
      </w:r>
    </w:p>
    <w:p w:rsidR="0025136B" w:rsidRPr="0025136B" w:rsidRDefault="0025136B" w:rsidP="00BC0C6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136B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зайнятих осіб</w:t>
      </w:r>
      <w:r w:rsidRPr="0025136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2100</w:t>
      </w:r>
    </w:p>
    <w:p w:rsidR="008F183B" w:rsidRPr="002C5BDC" w:rsidRDefault="00FF57BE" w:rsidP="00BC0C6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Кількість безробітних </w:t>
      </w:r>
      <w:r w:rsidR="0025136B" w:rsidRPr="0025136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30</w:t>
      </w:r>
    </w:p>
    <w:p w:rsidR="002C5BDC" w:rsidRPr="00194EC9" w:rsidRDefault="00194EC9" w:rsidP="00BC0C60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94E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</w:t>
      </w:r>
      <w:r w:rsidR="002C5BDC" w:rsidRPr="00194E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оціально-демографічна характеристика</w:t>
      </w:r>
    </w:p>
    <w:p w:rsidR="002C5BDC" w:rsidRPr="00194EC9" w:rsidRDefault="00194EC9" w:rsidP="00BC0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uk-UA"/>
        </w:rPr>
      </w:pPr>
      <w:r w:rsidRPr="00194EC9">
        <w:rPr>
          <w:rFonts w:ascii="Times New Roman" w:eastAsia="Times New Roman" w:hAnsi="Times New Roman" w:cs="Times New Roman"/>
          <w:b/>
          <w:i/>
          <w:sz w:val="24"/>
          <w:szCs w:val="28"/>
          <w:lang w:eastAsia="uk-UA"/>
        </w:rPr>
        <w:t xml:space="preserve">Таблиця 4. </w:t>
      </w:r>
      <w:r w:rsidR="002C5BDC" w:rsidRPr="00194EC9">
        <w:rPr>
          <w:rFonts w:ascii="Times New Roman" w:eastAsia="Times New Roman" w:hAnsi="Times New Roman" w:cs="Times New Roman"/>
          <w:b/>
          <w:i/>
          <w:sz w:val="24"/>
          <w:szCs w:val="28"/>
          <w:lang w:eastAsia="uk-UA"/>
        </w:rPr>
        <w:t>Категорія людей, що потребує соціального захисту (к-сть чол.)</w:t>
      </w:r>
    </w:p>
    <w:tbl>
      <w:tblPr>
        <w:tblW w:w="928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86"/>
        <w:gridCol w:w="794"/>
        <w:gridCol w:w="898"/>
        <w:gridCol w:w="1271"/>
        <w:gridCol w:w="794"/>
        <w:gridCol w:w="1014"/>
        <w:gridCol w:w="1138"/>
        <w:gridCol w:w="783"/>
        <w:gridCol w:w="677"/>
        <w:gridCol w:w="786"/>
      </w:tblGrid>
      <w:tr w:rsidR="002C5BDC" w:rsidRPr="00194EC9" w:rsidTr="002C5BD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Пенсіонери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Інваліди ІІ Світової війни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Учасники бойових дій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Репресовані (реабілітовані)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Інваліди всіх груп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Багатодітні сім'ї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Діти багатодітних сімей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Діти-інваліди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Діти-сироти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Одинокі матері</w:t>
            </w:r>
          </w:p>
        </w:tc>
      </w:tr>
      <w:tr w:rsidR="002C5BDC" w:rsidRPr="00194EC9" w:rsidTr="002C5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Всього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Одинокі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</w:tc>
      </w:tr>
      <w:tr w:rsidR="002C5BDC" w:rsidRPr="00194EC9" w:rsidTr="002C5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E077BD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E077BD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E077BD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</w:t>
            </w:r>
            <w:r w:rsidR="002C5BDC"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E077BD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E077BD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E077BD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E077BD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E077BD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E077BD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26</w:t>
            </w:r>
          </w:p>
        </w:tc>
      </w:tr>
    </w:tbl>
    <w:p w:rsidR="009F46FD" w:rsidRDefault="009F46FD" w:rsidP="00BC0C60">
      <w:p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5618E" w:rsidRDefault="00194EC9" w:rsidP="00BC0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У</w:t>
      </w:r>
      <w:r w:rsidR="00E07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Литовезькій сільській раді смертність переважає народжуваність</w:t>
      </w:r>
      <w:r w:rsidR="002C5BDC" w:rsidRPr="002C5B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 Більшість факторів, які впливають на демографічну ситуацію в громаді, формуються на загальнодержавному рівні і залежать від фінансово-економічного стану та добробуту населення. Подолання проблем </w:t>
      </w:r>
      <w:r w:rsidR="002C5BDC"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поліпшення економічного стану населення, що в свою чергу призведе до досягнення сталого демографічного розвитку, нормалізації і відтворення населення, є тривалим і складним процесом.</w:t>
      </w:r>
    </w:p>
    <w:p w:rsidR="002C5BDC" w:rsidRPr="002C5BDC" w:rsidRDefault="002C5BDC" w:rsidP="00BC0C6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стан розвитку інфраструктури (транспортної, економічної, енергетичної, промислової, соціальної, екологічної тощо);</w:t>
      </w:r>
    </w:p>
    <w:p w:rsidR="0015618E" w:rsidRDefault="0015618E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14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Загальна протяжність доріг комунальної власності – орієнтовно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становить </w:t>
      </w:r>
      <w:r w:rsidRPr="00FD14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59 км. Дороги з твердим покриттям становлять 44 %, решта – ґрунтові дороги </w:t>
      </w:r>
      <w:r w:rsidRPr="00FD143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(66 %).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 територію громади проходять автомобільні магістралі Р15 «Ковель-Жовква», Т0305 «Благодатне-Заставне-Іваничі». Відстань до автошляху Н22 «Устилуг-Луцьк-Рівне» </w:t>
      </w:r>
      <w:r w:rsidRPr="00FD143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30 км.</w:t>
      </w:r>
    </w:p>
    <w:p w:rsidR="0015618E" w:rsidRPr="00FD1436" w:rsidRDefault="0015618E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Регулярні пасажирські перевезення забезпечують сполучення із найближчими великими населеними пунктами: Іваничі, Нововолинськ, Луцьк, Львів, Володимир-Волинський.</w:t>
      </w:r>
    </w:p>
    <w:p w:rsidR="0015618E" w:rsidRDefault="0015618E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Відстань до населених пунктів:</w:t>
      </w:r>
    </w:p>
    <w:p w:rsidR="0015618E" w:rsidRDefault="0015618E" w:rsidP="00BC0C60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 районного центру – селища Іваничі (населення 7 тис. осіб) становить 25 км;</w:t>
      </w:r>
    </w:p>
    <w:p w:rsidR="0015618E" w:rsidRDefault="0015618E" w:rsidP="00BC0C60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 міста Нововолинськ (населення 56,7 тис. осіб) становить 10 км;</w:t>
      </w:r>
    </w:p>
    <w:p w:rsidR="0015618E" w:rsidRDefault="0015618E" w:rsidP="00BC0C60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 міста Володимир-Волинський (населення 38,8 тис. осіб) становить 30 км;</w:t>
      </w:r>
    </w:p>
    <w:p w:rsidR="0015618E" w:rsidRDefault="0015618E" w:rsidP="00BC0C60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 обласного центру – міста Луцьк – 104 км;</w:t>
      </w:r>
    </w:p>
    <w:p w:rsidR="0015618E" w:rsidRDefault="0015618E" w:rsidP="00BC0C60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 міжнародного аеропорту ім. Д. Галицького (місто Львів) – 120 км.</w:t>
      </w:r>
    </w:p>
    <w:p w:rsidR="002C5BDC" w:rsidRDefault="002C5BDC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Система освіти ОТГ</w:t>
      </w:r>
    </w:p>
    <w:p w:rsidR="00A628AB" w:rsidRDefault="00A628AB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A628A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ЗОШ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І-ІІІ ст с. Литовеж – 120 учнів;</w:t>
      </w:r>
    </w:p>
    <w:p w:rsidR="00A628AB" w:rsidRDefault="00A628AB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ЗОШ І – ІІІ ст . с. Заболотці – 108 учнів;</w:t>
      </w:r>
    </w:p>
    <w:p w:rsidR="00A628AB" w:rsidRDefault="00A628AB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ЗОШ І-ІІ ст. с. Заставне – 36 учнів;</w:t>
      </w:r>
    </w:p>
    <w:p w:rsidR="00A628AB" w:rsidRDefault="00A628AB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ЗОШ І-ІІ ст. с. Мовники – 55 учнів;</w:t>
      </w:r>
    </w:p>
    <w:p w:rsidR="00A628AB" w:rsidRDefault="00A628AB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ДНЗ «Сонечко» с. Литовеж – 36 діток;</w:t>
      </w:r>
    </w:p>
    <w:p w:rsidR="00A628AB" w:rsidRPr="002C5BDC" w:rsidRDefault="00A628AB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ДНЗ «Метелик» с. Мовники – 22 дитини.</w:t>
      </w:r>
    </w:p>
    <w:p w:rsidR="002C5BDC" w:rsidRPr="002C5BDC" w:rsidRDefault="002C5BDC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Мережа закладів галузі культури</w:t>
      </w:r>
    </w:p>
    <w:p w:rsidR="002C5BDC" w:rsidRPr="002C5BDC" w:rsidRDefault="002C5BDC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Клуби</w:t>
      </w:r>
      <w:r w:rsidR="00DF19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EB23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F194E">
        <w:rPr>
          <w:rFonts w:ascii="Times New Roman" w:eastAsia="Times New Roman" w:hAnsi="Times New Roman" w:cs="Times New Roman"/>
          <w:sz w:val="28"/>
          <w:szCs w:val="28"/>
          <w:lang w:eastAsia="uk-UA"/>
        </w:rPr>
        <w:t>с.</w:t>
      </w:r>
      <w:r w:rsidR="00EB236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DF194E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Біличі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C5BDC" w:rsidRPr="005E0432" w:rsidRDefault="002C5BDC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0432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Будинок культури</w:t>
      </w:r>
      <w:r w:rsidR="00DF194E" w:rsidRPr="005E0432">
        <w:rPr>
          <w:rFonts w:ascii="Times New Roman" w:eastAsia="Times New Roman" w:hAnsi="Times New Roman" w:cs="Times New Roman"/>
          <w:sz w:val="28"/>
          <w:szCs w:val="28"/>
          <w:lang w:eastAsia="uk-UA"/>
        </w:rPr>
        <w:t> с. Литовеж;</w:t>
      </w:r>
    </w:p>
    <w:p w:rsidR="00DF194E" w:rsidRPr="005E0432" w:rsidRDefault="00DF194E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0432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Будинок культури с. Заболотці;</w:t>
      </w:r>
    </w:p>
    <w:p w:rsidR="00DF194E" w:rsidRPr="005E0432" w:rsidRDefault="00DF194E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0432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Будинок культури с. Мовники;</w:t>
      </w:r>
    </w:p>
    <w:p w:rsidR="002C5BDC" w:rsidRPr="002C5BDC" w:rsidRDefault="002C5BDC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0432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Будинок культури</w:t>
      </w:r>
      <w:r w:rsidR="00DF194E">
        <w:rPr>
          <w:rFonts w:ascii="Times New Roman" w:eastAsia="Times New Roman" w:hAnsi="Times New Roman" w:cs="Times New Roman"/>
          <w:sz w:val="28"/>
          <w:szCs w:val="28"/>
          <w:lang w:eastAsia="uk-UA"/>
        </w:rPr>
        <w:t> с.</w:t>
      </w:r>
      <w:r w:rsidR="00A100F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DF194E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Заставне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C5BDC" w:rsidRDefault="002C5BDC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Біблі</w:t>
      </w:r>
      <w:r w:rsidR="00DF19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отека с. Литовеж, </w:t>
      </w:r>
      <w:r w:rsidR="00A100F5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DF19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ібліотека с. Заставне, </w:t>
      </w:r>
      <w:r w:rsidR="00A100F5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DF194E">
        <w:rPr>
          <w:rFonts w:ascii="Times New Roman" w:eastAsia="Times New Roman" w:hAnsi="Times New Roman" w:cs="Times New Roman"/>
          <w:sz w:val="28"/>
          <w:szCs w:val="28"/>
          <w:lang w:eastAsia="uk-UA"/>
        </w:rPr>
        <w:t>ібліотека с.</w:t>
      </w:r>
      <w:r w:rsidR="00A100F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DF194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Заболотці,</w:t>
      </w:r>
      <w:r w:rsidR="00A100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бібліотека </w:t>
      </w:r>
      <w:r w:rsidR="00DF194E">
        <w:rPr>
          <w:rFonts w:ascii="Times New Roman" w:eastAsia="Times New Roman" w:hAnsi="Times New Roman" w:cs="Times New Roman"/>
          <w:sz w:val="28"/>
          <w:szCs w:val="28"/>
          <w:lang w:eastAsia="uk-UA"/>
        </w:rPr>
        <w:t>с.</w:t>
      </w:r>
      <w:r w:rsidR="00A100F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DF194E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Мовники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100F5" w:rsidRPr="00A100F5" w:rsidRDefault="00A100F5" w:rsidP="00BC0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C12">
        <w:rPr>
          <w:rFonts w:ascii="Times New Roman" w:hAnsi="Times New Roman" w:cs="Times New Roman"/>
          <w:sz w:val="28"/>
          <w:szCs w:val="28"/>
        </w:rPr>
        <w:t>Щороку на території громади (у с. Кречів) проводяться Європейські дні добросусідства «Кордон 835». У селі Литовеж діє дитячий табір «Прикордонник», де діти різних вікових груп мають можливість яскраво провести літні канікули. В мальовничому місці знаходиться готельно-ресторанний комплекс «Три бобри».</w:t>
      </w:r>
    </w:p>
    <w:p w:rsidR="002C5BDC" w:rsidRPr="002C5BDC" w:rsidRDefault="002C5BDC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Система медичних закладів ОТГ</w:t>
      </w:r>
    </w:p>
    <w:p w:rsidR="002C5BDC" w:rsidRPr="002C5BDC" w:rsidRDefault="002C5BDC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Фельдшерсько-акушерські пункти:</w:t>
      </w:r>
    </w:p>
    <w:p w:rsidR="002C5BDC" w:rsidRPr="00A100F5" w:rsidRDefault="00DF194E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с. Заставне, с. Заболотці, с. Біличі, с. Мовники, с.</w:t>
      </w:r>
      <w:r w:rsidR="00A100F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Кречів</w:t>
      </w:r>
      <w:r w:rsidR="002C5BDC"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A100F5">
        <w:rPr>
          <w:rFonts w:ascii="Times New Roman" w:eastAsia="Times New Roman" w:hAnsi="Times New Roman" w:cs="Times New Roman"/>
          <w:sz w:val="28"/>
          <w:szCs w:val="28"/>
          <w:lang w:eastAsia="uk-UA"/>
        </w:rPr>
        <w:t>АЗПСМ с. Литовеж.</w:t>
      </w:r>
    </w:p>
    <w:p w:rsidR="00A100F5" w:rsidRDefault="00A100F5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100F5" w:rsidRPr="00FD1436" w:rsidRDefault="00A100F5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1436">
        <w:rPr>
          <w:rFonts w:ascii="Times New Roman" w:eastAsia="Times New Roman" w:hAnsi="Times New Roman" w:cs="Times New Roman"/>
          <w:sz w:val="28"/>
          <w:szCs w:val="28"/>
          <w:lang w:eastAsia="uk-UA"/>
        </w:rPr>
        <w:t>Усі нас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елені пункти газифіковано, орієнтовно 1399 домогосподарств (88 % усіх домогосподарств, що знаходяться на території Литовезької громади) підключені до побутового газопроводу.</w:t>
      </w:r>
    </w:p>
    <w:p w:rsidR="00A100F5" w:rsidRDefault="00A100F5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1436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Централізоване водоп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остачання частково в с. Заставне, </w:t>
      </w:r>
      <w:r w:rsidRPr="00FD14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с. Заболотці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та с. Біличі</w:t>
      </w:r>
      <w:r w:rsidRPr="00FD14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 решти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населених пунктах</w:t>
      </w:r>
      <w:r w:rsidRPr="00FD14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основному індивідуальні криниці та свердловини. </w:t>
      </w:r>
    </w:p>
    <w:p w:rsidR="00A100F5" w:rsidRDefault="00A100F5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143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Комунально-побутове обслуговування населення здійснює комунальне підприємство «Комунальне господарство Литовезької сільської ради».</w:t>
      </w:r>
    </w:p>
    <w:p w:rsidR="002C5BDC" w:rsidRPr="002C5BDC" w:rsidRDefault="002C5BDC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 навколишнього природного середо</w:t>
      </w:r>
      <w:r w:rsidR="00F44544">
        <w:rPr>
          <w:rFonts w:ascii="Times New Roman" w:eastAsia="Times New Roman" w:hAnsi="Times New Roman" w:cs="Times New Roman"/>
          <w:sz w:val="28"/>
          <w:szCs w:val="28"/>
          <w:lang w:eastAsia="uk-UA"/>
        </w:rPr>
        <w:t>вища Литовезької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ОТГ можна охарактеризувати, </w:t>
      </w:r>
      <w:r w:rsidR="00F44544">
        <w:rPr>
          <w:rFonts w:ascii="Times New Roman" w:eastAsia="Times New Roman" w:hAnsi="Times New Roman" w:cs="Times New Roman"/>
          <w:sz w:val="28"/>
          <w:szCs w:val="28"/>
          <w:lang w:eastAsia="uk-UA"/>
        </w:rPr>
        <w:t>як задовільний.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Великою проблемою є стихійні сміттєзвалища, забрудн</w:t>
      </w:r>
      <w:r w:rsidR="00F44544"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</w:t>
      </w:r>
      <w:r w:rsidR="003B7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прибережних зон річок З</w:t>
      </w:r>
      <w:r w:rsidR="00A100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ахідний </w:t>
      </w:r>
      <w:r w:rsidR="003920F9">
        <w:rPr>
          <w:rFonts w:ascii="Times New Roman" w:eastAsia="Times New Roman" w:hAnsi="Times New Roman" w:cs="Times New Roman"/>
          <w:sz w:val="28"/>
          <w:szCs w:val="28"/>
          <w:lang w:eastAsia="uk-UA"/>
        </w:rPr>
        <w:t>Буг</w:t>
      </w:r>
      <w:r w:rsidR="00A100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="003920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44544">
        <w:rPr>
          <w:rFonts w:ascii="Times New Roman" w:eastAsia="Times New Roman" w:hAnsi="Times New Roman" w:cs="Times New Roman"/>
          <w:sz w:val="28"/>
          <w:szCs w:val="28"/>
          <w:lang w:eastAsia="uk-UA"/>
        </w:rPr>
        <w:t>Берізка</w:t>
      </w:r>
      <w:r w:rsidR="003920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ставків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Велику увагу треба приділяти роботам з вирубки чагарників та спилювання дерев, що знаходяться в аварійному стані чи загрожують електромережам. Дії </w:t>
      </w:r>
      <w:r w:rsidR="00A100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апарату 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сільської ради повинні бути спрямованні на забезпечення благоустрою вулиць та місць загального користування сіл, наведення благоустрою на сільських кладовищах, забезпечення благоустрою та естетичної при</w:t>
      </w:r>
      <w:r w:rsidR="003920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вабливість центрів сіл 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ради. Розвиток інфраструктури потребує впровадження ефективних завдань і цілей, розроблення відповідних програм та планів.</w:t>
      </w:r>
    </w:p>
    <w:p w:rsidR="002C5BDC" w:rsidRPr="002C5BDC" w:rsidRDefault="002C5BDC" w:rsidP="00BC0C6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фінансово-бюджетна ситуація;</w:t>
      </w:r>
    </w:p>
    <w:p w:rsidR="002C5BDC" w:rsidRPr="002C5BDC" w:rsidRDefault="002C5BDC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Цілями діяльності </w:t>
      </w:r>
      <w:r w:rsidR="00A100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апарату 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сільської ради є підвищення ефективності фінансово-бюджетної політики, забезпечення стабільного функціонування шляхом зміцнення та збільшення дохідної частини бюджету, підвищення ефективності, оптимізації раціонального використання бюджетних коштів.</w:t>
      </w:r>
    </w:p>
    <w:p w:rsidR="00A100F5" w:rsidRDefault="002C5BDC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Фінансово-бюджетна політика — це основний інструмент регулювання та стимулювання економічних і соціальних процесів в селах, що реалізується за рахунок бюджетних ресурсів, власних коштів підприємств, установ та організацій, коштів позабюджетних фондів та коштів інвесторів.</w:t>
      </w:r>
    </w:p>
    <w:p w:rsidR="002C5BDC" w:rsidRPr="002C5BDC" w:rsidRDefault="002C5BDC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Основними по наповненню сільського бюджету є доходи від податку з доходу фізичних осіб та плата за землю (оренда, податок), акцизний збір та транспортний збір.</w:t>
      </w:r>
    </w:p>
    <w:p w:rsidR="000C487F" w:rsidRDefault="002C5BDC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Основн</w:t>
      </w:r>
      <w:r w:rsidR="00A100F5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ими</w:t>
      </w:r>
      <w:r w:rsidRPr="002C5BDC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завдання</w:t>
      </w:r>
      <w:r w:rsidR="00A100F5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ми</w:t>
      </w:r>
      <w:r w:rsidRPr="002C5BDC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є: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викон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ання заходів, передбачених даною Програмою</w:t>
      </w: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соціально-економічного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культурного розвитку Литовезької </w:t>
      </w: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сільської</w:t>
      </w:r>
      <w:r w:rsidR="00A100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об’єднаної територіальної громади;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виконання доходної</w:t>
      </w:r>
      <w:r w:rsidR="00A100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частини бюджету;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своєчасної та в належних розмірах сплати фізичними та юридичними особами податків, зборів та обов</w:t>
      </w:r>
      <w:r w:rsidR="00A100F5" w:rsidRPr="00460E9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язкових платежів до місцевого бюджету;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 сприятливих умов для розвитку виробництва;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підвищення  конкурентоспроможності осіб без професії, особливо молоді та економічно-активного населення;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вжиття ефективних заходів щодо легалізації трудових відносин та детінізації доходів населення ОТГ, зокрема шляхом проведення постійної роз’яснювальної</w:t>
      </w:r>
      <w:r w:rsidR="00A100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подальший розвиток сучасної торговельної інфраструктури  споживчого ринку з пріоритетним орієнтиром  на забезпечення  населення широким асортиментом  товарів і послуг;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 заходів по упорядкування комунального майна;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забезпечення відкритості для бізнесу інформації про вільні земельні ділянки та приміщення на території громади для започаткування нової підприємницької справи;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представлення туристичного потенціалу об’єднаної територіальної громади на міжобласних туристичних маршрутних виставкових заходах;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доступності медицини, освіти;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впровадження нових педагогічних технологій, розширення кількості предметів з поглибленим вивченням, покращення роботи з обдарованими учнями, активізацію участі учнів в олімпіадах і конкурсах;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збереження та подальший розвиток  культурного потенціалу;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належного функціонування та розвитку дошкільної освіти;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покращення інвестиційного іміджу шляхом розробки та періодичного оновлення рекламно</w:t>
      </w:r>
      <w:r w:rsidR="00724FFD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іміджевої продукції та інформаційно-презентаційних матеріалів про громаду, висвітлення практик інвестування у засобах масової інформації, участь та представлення інвестиційного потенціалу на інвестиційних форумах;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відкритості та прозорості, об’єктивного та всебічного інформування територіальної громади про діяльність сільської ради.</w:t>
      </w:r>
    </w:p>
    <w:p w:rsidR="000C487F" w:rsidRDefault="000C487F" w:rsidP="00BC0C60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Очікувані результати:</w:t>
      </w:r>
    </w:p>
    <w:p w:rsidR="000C487F" w:rsidRPr="000C487F" w:rsidRDefault="000C487F" w:rsidP="00BC0C60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створення фінансової основи для планомірного досягнення 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ратегічних цілей Литовезької </w:t>
      </w: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сільської об’єднаної територіальної громади;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стабільне функціонування бюджетної системи;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збільшення  надходження платежів до бюджету;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залучення інвестицій на  розвиток громади;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 інвентаризації земельних ділянок;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 інфраструктури та інженерних мереж ОТГ;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 умов для підтримки підприємництва;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сприяння забезпеченню здорового способу життя населення;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упорядкування комунального майна, забезпечення контрольованості його використання;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підвищення якості освіти;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збереження мережі дошкільних закладів;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комплексного підходу до вирішення питання підтримки учасників антитерористичної операції та їх родин;</w:t>
      </w:r>
    </w:p>
    <w:p w:rsid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спрямування зусиль на підвищення інвестиційної привабливості та конкурентоспроможності території завдяки ефективному використанню наявного економічного потенціалу.</w:t>
      </w:r>
    </w:p>
    <w:p w:rsidR="00BC0C60" w:rsidRPr="000C487F" w:rsidRDefault="00BC0C60" w:rsidP="00BC0C6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C5BDC" w:rsidRPr="002C5BDC" w:rsidRDefault="002C5BDC" w:rsidP="00BC0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</w:t>
      </w:r>
      <w:r w:rsidR="00724FF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Пріоритетні цілі</w:t>
      </w: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розвитку </w:t>
      </w:r>
      <w:r w:rsidR="00724FF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Литовезької </w:t>
      </w: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об’єднаної територіальної громади</w:t>
      </w:r>
      <w:r w:rsidR="005E04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до 2020 року</w:t>
      </w:r>
    </w:p>
    <w:p w:rsidR="00BC0C60" w:rsidRPr="002C5BDC" w:rsidRDefault="00724FFD" w:rsidP="002173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4FF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Пріоритетні цілі розвитку Литовезької об’єднаної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спрямовані на забезпечення</w:t>
      </w:r>
      <w:r w:rsidR="002C5BDC"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економічн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="002C5BDC"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зростання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її території</w:t>
      </w:r>
      <w:r w:rsidR="002C5BDC"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, де людям комфортно та безпечно жити і працювати, де для жителів ОТГ створено умови для самореалізації, а збереження довкілля є природною потребою людини.</w:t>
      </w:r>
    </w:p>
    <w:p w:rsidR="002C5BDC" w:rsidRPr="002C5BDC" w:rsidRDefault="002C5BDC" w:rsidP="002173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lastRenderedPageBreak/>
        <w:t xml:space="preserve">Основні </w:t>
      </w:r>
      <w:r w:rsidR="005D43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пріоритетні ціл</w:t>
      </w:r>
      <w:r w:rsidR="005E04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і Литовезької об’єднаної територіальної громади до 2020 року</w:t>
      </w:r>
      <w:r w:rsidR="005D43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:</w:t>
      </w:r>
    </w:p>
    <w:p w:rsidR="002C5BDC" w:rsidRPr="002C5BDC" w:rsidRDefault="003920F9" w:rsidP="00BC0C6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Розвиток сільських </w:t>
      </w:r>
      <w:r w:rsidR="002C5BDC"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територій, економічна та енергетична безпека, розвиток комунальних підприємств та інших об’єктів інфраструктури громади.</w:t>
      </w:r>
    </w:p>
    <w:p w:rsidR="002C5BDC" w:rsidRPr="002C5BDC" w:rsidRDefault="002C5BDC" w:rsidP="00BC0C6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 оптимальної мережі навчальних, культурних та лікарняних закладів;</w:t>
      </w:r>
    </w:p>
    <w:p w:rsidR="002C5BDC" w:rsidRPr="002C5BDC" w:rsidRDefault="002C5BDC" w:rsidP="00BC0C6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Підвищення інвестиційної привабливості громади та розвиток людського капіталу</w:t>
      </w:r>
      <w:r w:rsidR="005D43D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C5BDC" w:rsidRPr="002C5BDC" w:rsidRDefault="002C5BDC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Досяг</w:t>
      </w:r>
      <w:r w:rsidR="00C97C5A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 запланованих цілей буде здійснюватися на основі модернізації економіки громади</w:t>
      </w:r>
      <w:r w:rsidR="005D4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через залучення інвестицій; виробництво конкурентоспроможної продукції; здійснення заходів направлених на покращення фінансової діяльності суб’єктів господарювання; розвиток малого бізнесу. </w:t>
      </w:r>
      <w:r w:rsidR="005D43D5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соціальній сфері: покращення обслуговування населення в галузі охорони здоров’я; доступ до якісної освіти; забезпечення безпеки життєдіяльності.</w:t>
      </w:r>
    </w:p>
    <w:p w:rsidR="005D43D5" w:rsidRDefault="002C5BDC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 людського капіталу є прямою соціальною інвестицією, яка забезпечує розвиток та збереження населення, демонструє цінність кожного мешканця ОТГ для створення спільного добробуту. Вміння домовлятися й об’єднуватися, демократично приймати рішення і власними зусиллями вирішувати спільні проблеми набувають особливого значення в умовах дефіциту бюджетних коштів. Тому ефективне впровадження проектів, які будуть реалізовуватися в рамках досягнення стратегічних цілей, опосередковано сприятиме досягненню решти</w:t>
      </w:r>
      <w:r w:rsidR="005D4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цілей.</w:t>
      </w:r>
    </w:p>
    <w:p w:rsidR="002C5BDC" w:rsidRDefault="002C5BDC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Реалізація цілей має </w:t>
      </w:r>
      <w:r w:rsidR="005D43D5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меті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перетворити економіку ОТГ на більш сучасну, базовану на інноваціях, активності підприємців, економіку, що ґрунтується на оптимальному розміщенні економічних суб’єктів та ощадливому використанні природних ресурсів ОТГ.</w:t>
      </w:r>
    </w:p>
    <w:p w:rsidR="00B17198" w:rsidRPr="002C5BDC" w:rsidRDefault="00B17198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4202B" w:rsidRPr="0084202B" w:rsidRDefault="002C5BDC" w:rsidP="00BC0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4. Основні завдання та механізми </w:t>
      </w:r>
      <w:r w:rsidR="002C3EB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реалізації Програми </w:t>
      </w: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соціально-економічного </w:t>
      </w:r>
      <w:r w:rsidR="002C3EB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та культурного </w:t>
      </w: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розвитку </w:t>
      </w:r>
      <w:r w:rsidR="005D43D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Литовезької </w:t>
      </w: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об</w:t>
      </w:r>
      <w:r w:rsidR="002C3EB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’єднаної </w:t>
      </w:r>
      <w:r w:rsidR="002C3EBD" w:rsidRPr="0084202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територіальної громади</w:t>
      </w:r>
    </w:p>
    <w:p w:rsidR="002C5BDC" w:rsidRPr="002C5BDC" w:rsidRDefault="002C5BDC" w:rsidP="00BC0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Ціль 1: </w:t>
      </w:r>
      <w:r w:rsidR="002C3EBD" w:rsidRPr="003B7EB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uk-UA"/>
        </w:rPr>
        <w:t>Розвиток сільських</w:t>
      </w:r>
      <w:r w:rsidRPr="002C5BD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uk-UA"/>
        </w:rPr>
        <w:t xml:space="preserve"> територій, економічна та енергетична безпека, розвиток комунальних підприємств та інших об’єктів інфраструктури громади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2C5BDC" w:rsidRPr="002C5BDC" w:rsidRDefault="002C5BDC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Постійне зростання цін на енергоресурси висуває на перше місце пріоритетність заходів щодо упровадження енергозберігаючої політики в ОТГ та пошуку енергоефективних технологій виробництва. Задля забезпечення задоволення першочергових потреб населення і створення необхідних умов для функціонування господар</w:t>
      </w:r>
      <w:r w:rsidR="007701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ства, першочергова увага у </w:t>
      </w:r>
      <w:r w:rsidR="005D43D5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наступні роки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має бути зосереджена на створенні можливостей:</w:t>
      </w:r>
    </w:p>
    <w:p w:rsidR="002C5BDC" w:rsidRPr="005D43D5" w:rsidRDefault="002C5BDC" w:rsidP="00BC0C60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43D5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 проведення капітальних та поточних ремонтів комунальних доріг громади;</w:t>
      </w:r>
    </w:p>
    <w:p w:rsidR="007701FC" w:rsidRPr="005D43D5" w:rsidRDefault="002C5BDC" w:rsidP="00BC0C60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4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щодо </w:t>
      </w:r>
      <w:r w:rsidR="007701FC" w:rsidRPr="005D43D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відновлення, будівництва вуличного</w:t>
      </w:r>
      <w:r w:rsidRPr="005D4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освітлення населених пунктів, проведення поточних та капітальних ремонтів;</w:t>
      </w:r>
    </w:p>
    <w:p w:rsidR="002C5BDC" w:rsidRPr="005D43D5" w:rsidRDefault="002C5BDC" w:rsidP="00BC0C60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43D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щодо впровадження заходів з енергоефективності комунальних закладів сільської ради, проведення капітальних та поточних ремонтів;</w:t>
      </w:r>
    </w:p>
    <w:p w:rsidR="002C5BDC" w:rsidRPr="002C5BDC" w:rsidRDefault="002C5BDC" w:rsidP="00BC0C6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Очікувані результати:</w:t>
      </w:r>
    </w:p>
    <w:p w:rsidR="002C5BDC" w:rsidRPr="005D43D5" w:rsidRDefault="002C5BDC" w:rsidP="00BC0C60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43D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відновлення дорожнього покриття шляхом проведення капітальних та поточних робіт з ремонту дорожнього покриття;</w:t>
      </w:r>
    </w:p>
    <w:p w:rsidR="002C5BDC" w:rsidRPr="005D43D5" w:rsidRDefault="002C5BDC" w:rsidP="00BC0C60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43D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світлового комфорту у вечірній і нічний час для мешканців ОТГ;</w:t>
      </w:r>
    </w:p>
    <w:p w:rsidR="002C5BDC" w:rsidRPr="005D43D5" w:rsidRDefault="002C5BDC" w:rsidP="00BC0C60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43D5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досягнення максимальної ефективності використання паливно-енергетичних ресурсів;</w:t>
      </w:r>
    </w:p>
    <w:p w:rsidR="002C5BDC" w:rsidRPr="005D43D5" w:rsidRDefault="002C5BDC" w:rsidP="00BC0C60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43D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заощадження бюджетних коштів.</w:t>
      </w:r>
    </w:p>
    <w:p w:rsidR="002C5BDC" w:rsidRPr="002C5BDC" w:rsidRDefault="002C5BDC" w:rsidP="00BC0C6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Індикатори:</w:t>
      </w:r>
    </w:p>
    <w:p w:rsidR="002C5BDC" w:rsidRPr="005D43D5" w:rsidRDefault="002C5BDC" w:rsidP="00BC0C60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43D5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якість доріг комунальної власності та загального користування;</w:t>
      </w:r>
    </w:p>
    <w:p w:rsidR="002C5BDC" w:rsidRPr="0084202B" w:rsidRDefault="002C5BDC" w:rsidP="00BC0C60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02B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кількісні й якісні характеристики освітлення, що регламентуються нормами.</w:t>
      </w:r>
    </w:p>
    <w:p w:rsidR="002C5BDC" w:rsidRDefault="002C5BDC" w:rsidP="00BC0C60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02B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рівень використання газу в загальному обсязі енергоспоживання.</w:t>
      </w:r>
    </w:p>
    <w:p w:rsidR="0084202B" w:rsidRPr="009F46FD" w:rsidRDefault="0084202B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95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6345"/>
      </w:tblGrid>
      <w:tr w:rsidR="002C5BDC" w:rsidRPr="002C5BDC" w:rsidTr="0084202B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2C5BDC" w:rsidRDefault="002C5BDC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Завдання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2C5BDC" w:rsidRDefault="002C5BDC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Сфери</w:t>
            </w:r>
            <w:r w:rsidR="008420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</w:t>
            </w:r>
            <w:r w:rsidRPr="002C5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реалізації</w:t>
            </w:r>
            <w:r w:rsidR="008420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</w:t>
            </w:r>
            <w:r w:rsidRPr="002C5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проектів</w:t>
            </w:r>
          </w:p>
        </w:tc>
      </w:tr>
      <w:tr w:rsidR="002C5BDC" w:rsidRPr="002C5BDC" w:rsidTr="0084202B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2C5BDC" w:rsidRDefault="002C5BDC" w:rsidP="00BC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1.1.  Відновлення дорожнього покриття шляхом проведення капітальних та поточних робіт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2C5BDC" w:rsidRDefault="002C5BDC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1) Забезпечення належного авто</w:t>
            </w:r>
            <w:r w:rsidR="00014A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бусного сполучення усіх шести </w:t>
            </w: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населених пунктів відповідно до затверджених маршрутів загального користування.</w:t>
            </w:r>
          </w:p>
          <w:p w:rsidR="00FF53CE" w:rsidRDefault="007701FC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2) Капітальний ремонт частини дороги</w:t>
            </w:r>
            <w:r w:rsidR="002C5BDC"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О030317 Морозовичі – Кречів </w:t>
            </w:r>
            <w:r w:rsidR="00E047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Мовники до автодороги </w:t>
            </w:r>
            <w:r w:rsidR="00FF53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</w:t>
            </w:r>
            <w:r w:rsidR="00FF53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noBreak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  <w:r w:rsidR="00FF53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CA0825" w:rsidRDefault="00CA0825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3) </w:t>
            </w:r>
            <w:r w:rsidRPr="00CA08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Капітальний ремонт дороги О030317 Кречів-Мовники-Литовеж</w:t>
            </w:r>
            <w:r w:rsidR="00FF53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CA0825" w:rsidRDefault="00CA0825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4)</w:t>
            </w:r>
            <w:r>
              <w:t xml:space="preserve"> </w:t>
            </w:r>
            <w:r w:rsidRPr="00CA08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Дрібний поточний ремонт ділянки дороги О030320 Литовеж-Заболотці-Іваничі</w:t>
            </w:r>
            <w:r w:rsidR="00FF53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8F6B6E" w:rsidRDefault="008F6B6E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5) Розроблення проектної документації на капітальний </w:t>
            </w:r>
            <w:r w:rsidRPr="00FF53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ремонт автомобільної дороги О030320 Іваничі-Заболотці-Литовеж км 2+500 до км 11+700 Іваничівського району Волинської області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FF53CE" w:rsidRDefault="008F6B6E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  <w:r w:rsidR="00FF53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 К</w:t>
            </w:r>
            <w:r w:rsidR="00FF53CE" w:rsidRPr="00FF53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апітальний ремонт автомобільної дороги О030320 Іваничі-Заболотці-Литовеж км 2+500 до км 11+700 Іваничівського району Волинської області</w:t>
            </w:r>
            <w:r w:rsidR="00FF53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2C5BDC" w:rsidRDefault="008F6B6E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  <w:r w:rsidR="00CA08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) </w:t>
            </w:r>
            <w:r w:rsidR="00CA0825" w:rsidRPr="00CA08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Капітальний ремонт дороги О030318 Заболотці-Заставне</w:t>
            </w:r>
            <w:r w:rsidR="00FF53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FF53CE" w:rsidRDefault="008F6B6E" w:rsidP="00BC0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  <w:r w:rsidR="00FF53CE" w:rsidRPr="00FF53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 </w:t>
            </w:r>
            <w:r w:rsidR="00FF53CE" w:rsidRPr="00FF53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Капітальний ремонт</w:t>
            </w:r>
            <w:r w:rsidR="00F604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F53CE" w:rsidRPr="00FF53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проїзду до Будинку культури с. Литовеж Іваничівського району Волинської області</w:t>
            </w:r>
            <w:r w:rsidR="008C43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38574D" w:rsidRPr="0038574D" w:rsidRDefault="0038574D" w:rsidP="00BC0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857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9) </w:t>
            </w:r>
            <w:r w:rsidRPr="0038574D">
              <w:rPr>
                <w:rFonts w:ascii="Times New Roman" w:hAnsi="Times New Roman" w:cs="Times New Roman"/>
                <w:sz w:val="28"/>
                <w:szCs w:val="28"/>
              </w:rPr>
              <w:t>Капітальний ремонт дороги О 030318 /Т 0305/ – Благодатне – Заставне – Іваничі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43C9" w:rsidRPr="002C5BDC" w:rsidRDefault="0038574D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  <w:r w:rsidR="008C43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 Поточний ремонт комунальних доріг.</w:t>
            </w:r>
          </w:p>
        </w:tc>
      </w:tr>
      <w:tr w:rsidR="002C5BDC" w:rsidRPr="002C5BDC" w:rsidTr="0084202B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2C5BDC" w:rsidRDefault="002C5BDC" w:rsidP="00BC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1.2. Збільшення об</w:t>
            </w:r>
            <w:r w:rsidR="00461BE0" w:rsidRPr="00460E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’</w:t>
            </w: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єктів зовнішнього освітлення в населених пунктах ОТГ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7C5" w:rsidRDefault="002C5BDC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1) </w:t>
            </w:r>
            <w:r w:rsidR="00F277C5" w:rsidRPr="00B0137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Реконструкція вуличного освітлення в с. Біличі, с.</w:t>
            </w:r>
            <w:r w:rsidR="00FF53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="00F277C5" w:rsidRPr="00B0137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Заставне Іваничівського району Волинської області</w:t>
            </w:r>
            <w:r w:rsidR="00F277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="00F277C5" w:rsidRPr="00B0137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2C5BDC" w:rsidRPr="002C5BDC" w:rsidRDefault="00F277C5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2) </w:t>
            </w:r>
            <w:r w:rsidR="00B01376" w:rsidRPr="00B0137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Будівництво вуличного освітлення в с. Заболотці Іваничівського району Волинської області</w:t>
            </w:r>
            <w:r w:rsidR="00CA08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2C5BDC" w:rsidRPr="002C5BDC" w:rsidTr="0084202B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2C5BDC" w:rsidRDefault="00D74287" w:rsidP="00BC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1.3</w:t>
            </w:r>
            <w:r w:rsidR="002C5BDC"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Впровадження заходів з енергоефективності, проведення усіх видів ремонтних робіт комунальних закладів сільської ради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2C5BDC" w:rsidRDefault="00AA57CF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1)</w:t>
            </w:r>
            <w:r w:rsidR="005E043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AA57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Капітальний ремонт будинку культури с.</w:t>
            </w:r>
            <w:r w:rsidR="0084202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AA57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Заболотці Іваничівського району Волинської області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2C5BDC" w:rsidRPr="002C5BDC" w:rsidRDefault="00AA57CF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2) </w:t>
            </w:r>
            <w:r w:rsidRPr="00AA57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Реконструкція загальноосвітньої школи І</w:t>
            </w:r>
            <w:r w:rsidR="0084202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AA57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ступеня під Молодіжний центр в с</w:t>
            </w:r>
            <w:r w:rsidR="00FF53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 </w:t>
            </w:r>
            <w:r w:rsidRPr="00AA57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Кречів Іваничівського району Волинської області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2C5BDC" w:rsidRPr="002C5BDC" w:rsidRDefault="00AA57CF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3) </w:t>
            </w:r>
            <w:r w:rsidRPr="00AA57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Будівництво спортивного залу на території загальноосвітньої школи І-ІІІ ступеня імені Володимира Якобчука по вулиці Незалежності, 1 в селі Литовеж Іваничівсь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кого району Волинської області;</w:t>
            </w:r>
          </w:p>
          <w:p w:rsidR="002C5BDC" w:rsidRPr="002C5BDC" w:rsidRDefault="00AA57CF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4) </w:t>
            </w:r>
            <w:r w:rsidRPr="00AA57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Реконструкція колишньої загальноосвітньої школи І-ІІІ ступеня під адміністративну будівлю та центр надання адміністративних послуг в селі Литовеж Іваничівського району Волинської області по вулиці Володимира Якобчука 11Б</w:t>
            </w:r>
            <w:r w:rsidR="006E58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AA57CF" w:rsidRDefault="00AA57CF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5) </w:t>
            </w:r>
            <w:r w:rsidRPr="00AA57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Виготовлення проектної документації «Реконструкція будинку культури села Мовники Іваничівського району Волинської області»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2C5BDC" w:rsidRDefault="006969A1" w:rsidP="00BC0C60">
            <w:pPr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  <w:r w:rsidR="00AA57CF" w:rsidRPr="00F277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  <w:r w:rsidRPr="00F277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AA57CF" w:rsidRPr="00F277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Виготовлення проектної документації «</w:t>
            </w:r>
            <w:r w:rsidR="00DD5BC9" w:rsidRPr="00F277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Капітальний ремонт даху приміщення</w:t>
            </w:r>
            <w:r w:rsidR="0067730C" w:rsidRPr="00460E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12648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комунального закладу</w:t>
            </w:r>
            <w:r w:rsidR="006773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«Литовезький ліцей імені</w:t>
            </w:r>
            <w:r w:rsidR="00DD5BC9" w:rsidRPr="00F277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Володимира Якобчука</w:t>
            </w:r>
            <w:r w:rsidR="006773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  <w:r w:rsidRPr="00F277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корпус 1 по вул</w:t>
            </w:r>
            <w:r w:rsidR="006773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F277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6773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Pr="00F277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езалежності, 1, с. Литовеж</w:t>
            </w:r>
            <w:r w:rsidR="00AA57CF" w:rsidRPr="00F277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Іваничівського району Волинської області»;</w:t>
            </w:r>
          </w:p>
          <w:p w:rsidR="006E5850" w:rsidRPr="002C5BDC" w:rsidRDefault="006E5850" w:rsidP="00BC0C60">
            <w:pPr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7) </w:t>
            </w:r>
            <w:r w:rsidR="0067730C" w:rsidRPr="00F277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Капітальний ремонт даху приміщення</w:t>
            </w:r>
            <w:r w:rsidR="0067730C" w:rsidRPr="00460E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12648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комунального закладу</w:t>
            </w:r>
            <w:r w:rsidR="006773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«Литовезький ліцей імені</w:t>
            </w:r>
            <w:r w:rsidR="0067730C" w:rsidRPr="00F277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Володимира Якобчука</w:t>
            </w:r>
            <w:r w:rsidR="006773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  <w:r w:rsidR="0067730C" w:rsidRPr="00F277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корпус 1 по вул</w:t>
            </w:r>
            <w:r w:rsidR="006773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="0012648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="006773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67730C" w:rsidRPr="00F277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езалежності, 1, с. Литовеж Іваничівського району Волинської області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6E5850" w:rsidRDefault="006E5850" w:rsidP="00BC0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  <w:r w:rsidR="002C5BDC" w:rsidRPr="00AA57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 </w:t>
            </w:r>
            <w:r w:rsidR="00AA57CF" w:rsidRPr="00AA57CF"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проектної документації «Реконструкція </w:t>
            </w:r>
            <w:r w:rsidR="00B01376">
              <w:rPr>
                <w:rFonts w:ascii="Times New Roman" w:hAnsi="Times New Roman" w:cs="Times New Roman"/>
                <w:sz w:val="28"/>
                <w:szCs w:val="28"/>
              </w:rPr>
              <w:t xml:space="preserve">частини </w:t>
            </w:r>
            <w:r w:rsidR="00AA57CF" w:rsidRPr="00AA57CF">
              <w:rPr>
                <w:rFonts w:ascii="Times New Roman" w:hAnsi="Times New Roman" w:cs="Times New Roman"/>
                <w:sz w:val="28"/>
                <w:szCs w:val="28"/>
              </w:rPr>
              <w:t>приміщення під дитячий садок села Заставне Іваничівського району Волинської області»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2A39" w:rsidRDefault="00BD2A39" w:rsidP="00BC0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 </w:t>
            </w:r>
            <w:r w:rsidRPr="001C15C8"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проектної документації для проекту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C15C8">
              <w:rPr>
                <w:rFonts w:ascii="Times New Roman" w:hAnsi="Times New Roman" w:cs="Times New Roman"/>
                <w:sz w:val="28"/>
                <w:szCs w:val="28"/>
              </w:rPr>
              <w:t>Реконструкція частини приміщення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5C8">
              <w:rPr>
                <w:rFonts w:ascii="Times New Roman" w:hAnsi="Times New Roman" w:cs="Times New Roman"/>
                <w:sz w:val="28"/>
                <w:szCs w:val="28"/>
              </w:rPr>
              <w:t>школи під дитячий садочок на 40 місць по вул.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C15C8">
              <w:rPr>
                <w:rFonts w:ascii="Times New Roman" w:hAnsi="Times New Roman" w:cs="Times New Roman"/>
                <w:sz w:val="28"/>
                <w:szCs w:val="28"/>
              </w:rPr>
              <w:t>Клименка, 6А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C15C8">
              <w:rPr>
                <w:rFonts w:ascii="Times New Roman" w:hAnsi="Times New Roman" w:cs="Times New Roman"/>
                <w:sz w:val="28"/>
                <w:szCs w:val="28"/>
              </w:rPr>
              <w:t>Заставне Іваничівського району Волинської області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C5BDC" w:rsidRDefault="00BD2A39" w:rsidP="00BC0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10) </w:t>
            </w:r>
            <w:r w:rsidRPr="001C15C8">
              <w:rPr>
                <w:rFonts w:ascii="Times New Roman" w:hAnsi="Times New Roman" w:cs="Times New Roman"/>
                <w:sz w:val="28"/>
                <w:szCs w:val="28"/>
              </w:rPr>
              <w:t>Реконструкція частини приміщення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5C8">
              <w:rPr>
                <w:rFonts w:ascii="Times New Roman" w:hAnsi="Times New Roman" w:cs="Times New Roman"/>
                <w:sz w:val="28"/>
                <w:szCs w:val="28"/>
              </w:rPr>
              <w:t>школи під дитячий садочок на 40 місць по вул.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C15C8">
              <w:rPr>
                <w:rFonts w:ascii="Times New Roman" w:hAnsi="Times New Roman" w:cs="Times New Roman"/>
                <w:sz w:val="28"/>
                <w:szCs w:val="28"/>
              </w:rPr>
              <w:t>Клименка, 6А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C15C8">
              <w:rPr>
                <w:rFonts w:ascii="Times New Roman" w:hAnsi="Times New Roman" w:cs="Times New Roman"/>
                <w:sz w:val="28"/>
                <w:szCs w:val="28"/>
              </w:rPr>
              <w:t>Заставне Іваничівського району Волинської області</w:t>
            </w:r>
            <w:r w:rsidR="000F2F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2FB8" w:rsidRDefault="000F2FB8" w:rsidP="00BC0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11) </w:t>
            </w:r>
            <w:r w:rsidRPr="000F2FB8">
              <w:rPr>
                <w:rFonts w:ascii="Times New Roman" w:hAnsi="Times New Roman" w:cs="Times New Roman"/>
                <w:sz w:val="28"/>
                <w:szCs w:val="28"/>
              </w:rPr>
              <w:t>Капітальний ремонт клубу с. Біличі Іваничівського району Волинської області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7AFF" w:rsidRDefault="00967AFF" w:rsidP="00BC0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12)</w:t>
            </w:r>
            <w:r w:rsidRPr="00AA57CF">
              <w:rPr>
                <w:rFonts w:ascii="Times New Roman" w:hAnsi="Times New Roman" w:cs="Times New Roman"/>
                <w:sz w:val="28"/>
                <w:szCs w:val="28"/>
              </w:rPr>
              <w:t xml:space="preserve"> Виготовлення проектної документації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«Капітальний ремонт покрівлі будинку культури по вул. Володимира Якобчука,11 в с. Литовеж Іваничівського району Волинської області».</w:t>
            </w:r>
          </w:p>
          <w:p w:rsidR="00967AFF" w:rsidRDefault="00967AFF" w:rsidP="00BC0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13) Капітальний ремонт покрівлі будинку культури по вул. Володимира Якобчука,11 в с. Литовеж Іваничівського району Волинської області.</w:t>
            </w:r>
          </w:p>
          <w:p w:rsidR="00967AFF" w:rsidRDefault="00967AFF" w:rsidP="00BC0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14) </w:t>
            </w:r>
            <w:r w:rsidRPr="00AA57CF">
              <w:rPr>
                <w:rFonts w:ascii="Times New Roman" w:hAnsi="Times New Roman" w:cs="Times New Roman"/>
                <w:sz w:val="28"/>
                <w:szCs w:val="28"/>
              </w:rPr>
              <w:t>Виготовлення проектної документації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«Капітальний ремонт фасаду з утепленням будівлі «КЗ Заболотцівський ліцей Литовезької сільської ради Волинської області по вул. Молодіжна, 24 в с. Заболотці Іваничівського району Волинської області».</w:t>
            </w:r>
          </w:p>
          <w:p w:rsidR="00967AFF" w:rsidRDefault="00967AFF" w:rsidP="00BC0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15) Капітальний ремонт фасаду з утепленням будівлі «КЗ Заболотцівський ліцей Литовезької сільської ради Волинської області по вул. Молодіжна, 24 в с. Заболотці Іваничівського району Волинської області».</w:t>
            </w:r>
          </w:p>
          <w:p w:rsidR="00967AFF" w:rsidRDefault="00967AFF" w:rsidP="00BC0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16)</w:t>
            </w:r>
            <w:r w:rsidRPr="00AA57CF">
              <w:rPr>
                <w:rFonts w:ascii="Times New Roman" w:hAnsi="Times New Roman" w:cs="Times New Roman"/>
                <w:sz w:val="28"/>
                <w:szCs w:val="28"/>
              </w:rPr>
              <w:t xml:space="preserve"> Виготовлення проектної документації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«Капіта</w:t>
            </w:r>
            <w:r w:rsidR="00C9508F">
              <w:rPr>
                <w:rFonts w:ascii="Times New Roman" w:hAnsi="Times New Roman" w:cs="Times New Roman"/>
                <w:sz w:val="28"/>
                <w:szCs w:val="28"/>
              </w:rPr>
              <w:t>льний ремонтт фасаду з утепленням будинку культури на вул. Володимира Якобчука, 11 в с. Литовеж Іваничівського району Волинської області».</w:t>
            </w:r>
          </w:p>
          <w:p w:rsidR="00C9508F" w:rsidRPr="00AA57CF" w:rsidRDefault="00C9508F" w:rsidP="00BC0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17) Капітальний ремонт фасаду з утепленням будинку культури на вул. Володимира Якобчука, 11 в с. Литовеж Іваничівського району Волинської області</w:t>
            </w:r>
          </w:p>
        </w:tc>
      </w:tr>
    </w:tbl>
    <w:p w:rsidR="002C5BDC" w:rsidRPr="002C5BDC" w:rsidRDefault="002C5BDC" w:rsidP="00BC0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br/>
        <w:t>Ціль 2: </w:t>
      </w:r>
      <w:r w:rsidRPr="002C5BD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uk-UA"/>
        </w:rPr>
        <w:t>Формування оптимальної мережі навчальних, культурних та лікарняних закладів</w:t>
      </w:r>
    </w:p>
    <w:p w:rsidR="002C5BDC" w:rsidRPr="002C5BDC" w:rsidRDefault="002C5BDC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Проаналізувавши структуру та зміст соціального простору, а також враховуючи можливості забезпечення попиту населення на здобуття якісних освітніх, культурних, медичних послуг та допомогу, спрямовану на розв’язання життєвих проблем осіб і окремих соціальних груп, які перебувають у складних життєви</w:t>
      </w:r>
      <w:r w:rsidR="0084202B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обставинах і не можуть самостійно їх подолати, виникла потреба у створені оптимальної соціальної мережі відповідно до демографічної ситуації у ОТГ.</w:t>
      </w:r>
    </w:p>
    <w:p w:rsidR="002C5BDC" w:rsidRPr="0084202B" w:rsidRDefault="002C5BDC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420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Очікувані результати:</w:t>
      </w:r>
    </w:p>
    <w:p w:rsidR="0084202B" w:rsidRDefault="002C5BDC" w:rsidP="00BC0C60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02B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задоволення соціальних інтересів всіх верств населення, відносин суспільства і особи, умов праці й побуту, </w:t>
      </w:r>
    </w:p>
    <w:p w:rsidR="002C5BDC" w:rsidRPr="0084202B" w:rsidRDefault="002C5BDC" w:rsidP="00BC0C60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02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задоволення потреб освіти та культури, здоров’я, відпочинку.</w:t>
      </w:r>
    </w:p>
    <w:p w:rsidR="002C5BDC" w:rsidRPr="0084202B" w:rsidRDefault="002C5BDC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420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Індикатори:</w:t>
      </w:r>
    </w:p>
    <w:p w:rsidR="002C5BDC" w:rsidRPr="0084202B" w:rsidRDefault="002C5BDC" w:rsidP="00BC0C60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02B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рівень послуг із забезпечення задоволення потреб населення у соціальних благах;</w:t>
      </w:r>
    </w:p>
    <w:p w:rsidR="0084202B" w:rsidRPr="00217315" w:rsidRDefault="00F117C4" w:rsidP="00217315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достатня </w:t>
      </w:r>
      <w:r w:rsidR="002C5BDC" w:rsidRPr="0084202B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об’єктів соціальної інфраструктури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території громади</w:t>
      </w:r>
      <w:r w:rsidR="002C5BDC" w:rsidRPr="0084202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C5BDC" w:rsidRPr="0084202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217315" w:rsidRPr="00217315" w:rsidRDefault="00217315" w:rsidP="00217315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963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8"/>
        <w:gridCol w:w="6423"/>
      </w:tblGrid>
      <w:tr w:rsidR="002C5BDC" w:rsidRPr="002C5BDC" w:rsidTr="00217315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2C5BDC" w:rsidRDefault="002C5BDC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Завдання</w:t>
            </w:r>
          </w:p>
        </w:tc>
        <w:tc>
          <w:tcPr>
            <w:tcW w:w="6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2C5BDC" w:rsidRDefault="002C5BDC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Сфери реалізації проектів</w:t>
            </w:r>
          </w:p>
        </w:tc>
      </w:tr>
      <w:tr w:rsidR="002C5BDC" w:rsidRPr="002C5BDC" w:rsidTr="00217315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2C5BDC" w:rsidRDefault="002C5BDC" w:rsidP="00BC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2.1. Поліпшення якості </w:t>
            </w:r>
            <w:r w:rsidR="007C0CF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та </w:t>
            </w:r>
            <w:r w:rsidR="007C0CF8" w:rsidRPr="007C0CF8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конкурентоспроможності </w:t>
            </w: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освіти</w:t>
            </w:r>
          </w:p>
        </w:tc>
        <w:tc>
          <w:tcPr>
            <w:tcW w:w="6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Default="00BC29D9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1) </w:t>
            </w:r>
            <w:r w:rsidR="00A8312F" w:rsidRPr="00A831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Реконструкція </w:t>
            </w:r>
            <w:r w:rsidR="00C3421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частини </w:t>
            </w:r>
            <w:r w:rsidR="00A8312F" w:rsidRPr="00A831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приміщення школи під дитячий садочок на 15 місць в селі Заставне Іваничівського району Волинської області</w:t>
            </w:r>
            <w:r w:rsidR="00B0137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C3421D" w:rsidRPr="00C3421D" w:rsidRDefault="00C3421D" w:rsidP="00BC0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21D">
              <w:rPr>
                <w:rFonts w:ascii="Times New Roman" w:hAnsi="Times New Roman" w:cs="Times New Roman"/>
                <w:sz w:val="28"/>
                <w:szCs w:val="28"/>
              </w:rPr>
              <w:t>2) Реконструкція загальноосвітньої школи І ступеня під Молодіжний центр в с. Кречів Іваничівського району Волинської області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421D" w:rsidRPr="00C3421D" w:rsidRDefault="00C3421D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3421D">
              <w:rPr>
                <w:rFonts w:ascii="Times New Roman" w:hAnsi="Times New Roman" w:cs="Times New Roman"/>
                <w:sz w:val="28"/>
                <w:szCs w:val="28"/>
              </w:rPr>
              <w:t>3) Виготовлення проектної документації для проекту «Реконструкція частини приміщення КЗ «Мовниківська початкова школа» під Мовниківський ЗДО «Метелик» на 20 місць в с. Мовники Іваничівського району Волинської області</w:t>
            </w:r>
            <w:r w:rsidR="006E585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C5BDC" w:rsidRPr="002C5BDC" w:rsidRDefault="00C3421D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="002C5BDC"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 Утворення гуртків для занять</w:t>
            </w:r>
            <w:r w:rsidR="00BC29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2C5BDC"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легкою атлетикою, ігрових видів спорту, тенісу, та інтелектуальних видів спорту (шахи та шашки).</w:t>
            </w:r>
          </w:p>
          <w:p w:rsidR="002C5BDC" w:rsidRPr="00BC0C60" w:rsidRDefault="00C3421D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="002C5BDC" w:rsidRPr="00BC0C6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 Розробка системи виховання молоді на засадах розвитку життєвих навичок</w:t>
            </w:r>
            <w:r w:rsidR="00BC0C60" w:rsidRPr="00BC0C6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BC0C60" w:rsidRPr="00BC0C60" w:rsidRDefault="00BC0C60" w:rsidP="00BC0C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C0C6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6) </w:t>
            </w:r>
            <w:r w:rsidRPr="00BC0C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Реконструкція котельні загальноосвітньої школи І-ІІІ ступеня с. Заболотці Литовезької сільської ради;</w:t>
            </w:r>
          </w:p>
          <w:p w:rsidR="00BC0C60" w:rsidRPr="00BC0C60" w:rsidRDefault="00BC0C60" w:rsidP="00BC0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C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7) </w:t>
            </w:r>
            <w:r w:rsidRPr="00BC0C60">
              <w:rPr>
                <w:rFonts w:ascii="Times New Roman" w:hAnsi="Times New Roman" w:cs="Times New Roman"/>
                <w:sz w:val="28"/>
                <w:szCs w:val="28"/>
              </w:rPr>
              <w:t xml:space="preserve">Придбання комп’ютерного класу для комунального закладу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C0C60">
              <w:rPr>
                <w:rFonts w:ascii="Times New Roman" w:hAnsi="Times New Roman" w:cs="Times New Roman"/>
                <w:sz w:val="28"/>
                <w:szCs w:val="28"/>
              </w:rPr>
              <w:t>Литовезький ліцей імені Володимира Якобчука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C0C60">
              <w:rPr>
                <w:rFonts w:ascii="Times New Roman" w:hAnsi="Times New Roman" w:cs="Times New Roman"/>
                <w:sz w:val="28"/>
                <w:szCs w:val="28"/>
              </w:rPr>
              <w:t xml:space="preserve"> Литовезької сільської ради Волинської області за адресою вул. Незалежності, 1 с. Литовеж Волинської області;</w:t>
            </w:r>
          </w:p>
          <w:p w:rsidR="00BC0C60" w:rsidRDefault="00BC0C60" w:rsidP="00BC0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C60">
              <w:rPr>
                <w:rFonts w:ascii="Times New Roman" w:hAnsi="Times New Roman" w:cs="Times New Roman"/>
                <w:sz w:val="28"/>
                <w:szCs w:val="28"/>
              </w:rPr>
              <w:t>8) Придбання та встановлення тренаженарів для Комунального закладу Заболотцівський ліцей Литовезької сільської ради Волинської області по вулиці Молодіжна, 24 в с. Заболотці Іваничівського району Волинської області</w:t>
            </w:r>
            <w:r w:rsidR="006E58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2FB8" w:rsidRPr="00010687" w:rsidRDefault="006E5850" w:rsidP="00BC0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9) </w:t>
            </w:r>
            <w:r w:rsidRPr="00C3421D">
              <w:rPr>
                <w:rFonts w:ascii="Times New Roman" w:hAnsi="Times New Roman" w:cs="Times New Roman"/>
                <w:sz w:val="28"/>
                <w:szCs w:val="28"/>
              </w:rPr>
              <w:t>Реконструкція частини приміщення КЗ «Мовниківська початкова школа» під Мовниківський ЗДО «Метелик» на 20 місць в с. Мовники Іваничівського району Волинської області</w:t>
            </w:r>
            <w:r w:rsidR="00010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5BDC" w:rsidRPr="002C5BDC" w:rsidTr="00217315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2C5BDC" w:rsidRDefault="002C5BDC" w:rsidP="00BC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2.2.  Підтримка розвитку культури</w:t>
            </w:r>
          </w:p>
        </w:tc>
        <w:tc>
          <w:tcPr>
            <w:tcW w:w="6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2C5BDC" w:rsidRDefault="002C5BDC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1) Зміцнення матеріально-технічної бази закладів культури, підключення до системи Інтернет.</w:t>
            </w:r>
          </w:p>
          <w:p w:rsidR="005F6463" w:rsidRDefault="002C5BDC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2) </w:t>
            </w:r>
            <w:r w:rsidR="005F6463" w:rsidRPr="005F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Забезпечення проведення культурно-мистецьких заходів на території Литовезької ОТГ</w:t>
            </w:r>
            <w:r w:rsidR="005F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="005F6463" w:rsidRPr="005F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2C5BDC" w:rsidRPr="002C5BDC" w:rsidRDefault="002C5BDC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3) Організація культурного життя для людей похилого віку.</w:t>
            </w:r>
          </w:p>
          <w:p w:rsidR="002C5BDC" w:rsidRDefault="002C5BDC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4) Організація культурного життя для людей з обмеженими можливостями та підтримки їх опікунів</w:t>
            </w:r>
            <w:r w:rsidR="00BC0C6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BC0C60" w:rsidRPr="002C5BDC" w:rsidRDefault="00BC0C60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5) </w:t>
            </w:r>
            <w:r w:rsidRPr="00BC0C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Придбання звуко-акустичної апаратури для будинку культури по вул. Володимира Якобчука, 11, в с. Литовеж Іваничівського району.</w:t>
            </w:r>
          </w:p>
        </w:tc>
      </w:tr>
      <w:tr w:rsidR="002C5BDC" w:rsidRPr="002C5BDC" w:rsidTr="00217315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2C5BDC" w:rsidRDefault="002C5BDC" w:rsidP="00BC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2.3. Створення сприятливих умов для занять населення фізичною культурою і спортом</w:t>
            </w:r>
          </w:p>
        </w:tc>
        <w:tc>
          <w:tcPr>
            <w:tcW w:w="6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2C5BDC" w:rsidRDefault="002C5BDC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1) Проведення щорічно комплексних спортивних заходів за участю учнівської та студентської молоді.</w:t>
            </w:r>
          </w:p>
          <w:p w:rsidR="002C5BDC" w:rsidRDefault="002C5BDC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2) Забезпечення участі спортсменів ОТГ на обласних, районних та всеукраїнських змаганнях</w:t>
            </w:r>
            <w:r w:rsidR="0001068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010687" w:rsidRDefault="00010687" w:rsidP="00010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3) Виготовлення проектної документації «</w:t>
            </w:r>
            <w:r w:rsidRPr="000F2F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</w:t>
            </w:r>
            <w:r w:rsidR="00460E9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удівництво спортивного комплексу</w:t>
            </w:r>
            <w:r w:rsidRPr="000F2F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зі штучним покриттям на території КЗ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r w:rsidRPr="000F2F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Литовезький ліцей імені Володимира Якобчука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»;</w:t>
            </w:r>
          </w:p>
          <w:p w:rsidR="00010687" w:rsidRPr="002C5BDC" w:rsidRDefault="00010687" w:rsidP="00010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4) </w:t>
            </w:r>
            <w:r w:rsidRPr="000F2F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</w:t>
            </w:r>
            <w:r w:rsidR="00460E9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удівництво спорткомплексу</w:t>
            </w:r>
            <w:r w:rsidRPr="000F2F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зі штучним покриттям на території КЗ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r w:rsidRPr="000F2F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Литовезький ліцей імені Володимира Якобчука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».</w:t>
            </w:r>
          </w:p>
        </w:tc>
      </w:tr>
      <w:tr w:rsidR="002C5BDC" w:rsidRPr="002C5BDC" w:rsidTr="00217315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2C5BDC" w:rsidRDefault="002C5BDC" w:rsidP="00BC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2.4. Проведення роботи з вивчення питань щодо медичного забезпечення населення громади.</w:t>
            </w:r>
          </w:p>
        </w:tc>
        <w:tc>
          <w:tcPr>
            <w:tcW w:w="6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2C5BDC" w:rsidRDefault="002C5BDC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1) Зміцнення матеріально-технічної бази закладів медицини, підключення до системи Інтернет.</w:t>
            </w:r>
          </w:p>
          <w:p w:rsidR="002C5BDC" w:rsidRPr="002C5BDC" w:rsidRDefault="002C5BDC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2) </w:t>
            </w:r>
            <w:r w:rsidR="00F06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</w:t>
            </w:r>
            <w:r w:rsidR="00BC29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апітальн</w:t>
            </w:r>
            <w:r w:rsidR="00F06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ий</w:t>
            </w:r>
            <w:r w:rsidR="00BC29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ремонт Литовезької</w:t>
            </w: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амбулаторії загальної практики</w:t>
            </w:r>
            <w:r w:rsidR="00BC29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сімейної медицини </w:t>
            </w:r>
            <w:r w:rsidR="00F06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 вул. Л. Українки, 23 </w:t>
            </w:r>
            <w:r w:rsidR="00BC29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 с. Литовеж Іваничівського району Волинської області</w:t>
            </w:r>
            <w:r w:rsidR="00C7515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</w:tbl>
    <w:p w:rsidR="0084202B" w:rsidRDefault="0084202B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84202B" w:rsidRPr="00217315" w:rsidRDefault="002C5BDC" w:rsidP="00217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uk-UA"/>
        </w:rPr>
      </w:pP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Ціль 3: </w:t>
      </w:r>
      <w:r w:rsidRPr="002C5BD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uk-UA"/>
        </w:rPr>
        <w:t>Підвищення інвестиційної привабливості громади та розвиток людського капіталу</w:t>
      </w:r>
    </w:p>
    <w:p w:rsidR="0084202B" w:rsidRDefault="0084202B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Литовезькій громаді наявний людський потенціал та географічне розташування надають можливість для розвитку підприємництва та створення нових робочих місць. Сільські території ж можуть слугувати й сировинною базою для потенційних підприємств, які спеціалізуються на переробці сільськогосподарської продукції.</w:t>
      </w:r>
    </w:p>
    <w:p w:rsidR="00C633D6" w:rsidRPr="0084202B" w:rsidRDefault="00C633D6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4" w:name="_Hlk5780812"/>
      <w:r w:rsidRPr="008420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Очікувані результати:</w:t>
      </w:r>
    </w:p>
    <w:p w:rsidR="00C633D6" w:rsidRPr="00C633D6" w:rsidRDefault="00C633D6" w:rsidP="00BC0C60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поліпшення благоустрою населених пунктів Литовезької ОТГ;</w:t>
      </w:r>
    </w:p>
    <w:p w:rsidR="00C633D6" w:rsidRPr="00C633D6" w:rsidRDefault="00C633D6" w:rsidP="00BC0C60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підвищення рівня громадської активності жителів громади;</w:t>
      </w:r>
    </w:p>
    <w:p w:rsidR="00C633D6" w:rsidRPr="00C633D6" w:rsidRDefault="00C633D6" w:rsidP="00BC0C60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налагодження співпраці з місцевим бізнесом, представниками міжнародних організацій.</w:t>
      </w:r>
    </w:p>
    <w:p w:rsidR="00C633D6" w:rsidRDefault="00C633D6" w:rsidP="00BC0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633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Індикатори:</w:t>
      </w:r>
    </w:p>
    <w:p w:rsidR="00C633D6" w:rsidRDefault="00C633D6" w:rsidP="00BC0C60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санітарний стан населених пунктів громади;</w:t>
      </w:r>
    </w:p>
    <w:p w:rsidR="00C633D6" w:rsidRDefault="00C633D6" w:rsidP="00BC0C60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кількість партнерських організацій;</w:t>
      </w:r>
    </w:p>
    <w:p w:rsidR="00C633D6" w:rsidRDefault="00C633D6" w:rsidP="00BC0C60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частота проведення заходів із благоустрою сіл громади</w:t>
      </w:r>
      <w:r w:rsidR="001940F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1940F7" w:rsidRDefault="001940F7" w:rsidP="00BC0C60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участь населення у розвитку громади.</w:t>
      </w:r>
    </w:p>
    <w:bookmarkEnd w:id="4"/>
    <w:p w:rsidR="00C633D6" w:rsidRPr="00C633D6" w:rsidRDefault="00C633D6" w:rsidP="00BC0C6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928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6783"/>
      </w:tblGrid>
      <w:tr w:rsidR="002C5BDC" w:rsidRPr="002C5BDC" w:rsidTr="00C633D6"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2C5BDC" w:rsidRDefault="002C5BDC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Завдання</w:t>
            </w:r>
          </w:p>
        </w:tc>
        <w:tc>
          <w:tcPr>
            <w:tcW w:w="6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2C5BDC" w:rsidRDefault="002C5BDC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Сфери реалізації проектів</w:t>
            </w:r>
          </w:p>
        </w:tc>
      </w:tr>
      <w:tr w:rsidR="002C5BDC" w:rsidRPr="002C5BDC" w:rsidTr="00C633D6"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2C5BDC" w:rsidRDefault="002C5BDC" w:rsidP="00BC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3.1. Залучення мешканців до вирішення місцевих проблем</w:t>
            </w:r>
          </w:p>
        </w:tc>
        <w:tc>
          <w:tcPr>
            <w:tcW w:w="6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Default="002C5BDC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1)</w:t>
            </w:r>
            <w:r w:rsidR="00304E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Поліпшення благоустрою сіл шляхом самоо</w:t>
            </w:r>
            <w:r w:rsidR="00BC29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рганізації мешканців ОТГ</w:t>
            </w: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</w:t>
            </w:r>
            <w:r w:rsidR="00C633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проведення суботників, запровадження заходів з роздільного збирання сміття, дотримання </w:t>
            </w:r>
            <w:r w:rsidR="00BC29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Правил благоустрою Литовезької</w:t>
            </w: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сільської ради.</w:t>
            </w:r>
          </w:p>
          <w:p w:rsidR="00304E78" w:rsidRDefault="00B01376" w:rsidP="00BC0C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2)</w:t>
            </w:r>
            <w:r w:rsidR="00304E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="00304E7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Придбання транспортних засобів спеціального призначення та обладнання для комунального господарства.</w:t>
            </w:r>
          </w:p>
          <w:p w:rsidR="002C5BDC" w:rsidRPr="002C5BDC" w:rsidRDefault="00B01376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="002C5BDC"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 Розширення співпраці ОТГ з міжнародними фінансовими та донорськими організаціями.</w:t>
            </w:r>
          </w:p>
          <w:p w:rsidR="002C5BDC" w:rsidRDefault="00C633D6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="002C5BDC"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 Реалізація транскордонних проектів</w:t>
            </w:r>
            <w:r w:rsidR="0001068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010687" w:rsidRPr="002C5BDC" w:rsidRDefault="00010687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5) Проведення щорічного Конкурсу місцевих ініціатив «Громада та влада».</w:t>
            </w:r>
          </w:p>
        </w:tc>
      </w:tr>
      <w:tr w:rsidR="002C5BDC" w:rsidRPr="002C5BDC" w:rsidTr="00C633D6"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2C5BDC" w:rsidRDefault="00BC29D9" w:rsidP="00BC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3.2</w:t>
            </w:r>
            <w:r w:rsidR="002C5BDC"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Залучення мешканців до активного громадського життя</w:t>
            </w:r>
          </w:p>
        </w:tc>
        <w:tc>
          <w:tcPr>
            <w:tcW w:w="6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2C5BDC" w:rsidRDefault="002C5BDC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1) Проведення круглих столів, семінарів з питань організації вуличних комітетів, громадських організацій, створення органів самоорганізації населення.</w:t>
            </w:r>
          </w:p>
          <w:p w:rsidR="002C5BDC" w:rsidRPr="002C5BDC" w:rsidRDefault="002C5BDC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2) Залучення жителів до розроб</w:t>
            </w:r>
            <w:r w:rsidR="00C633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ки</w:t>
            </w: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Стратегі</w:t>
            </w:r>
            <w:r w:rsidR="00C633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чного плану</w:t>
            </w:r>
            <w:r w:rsidR="0082326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розвитку Литовезької</w:t>
            </w: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громади.</w:t>
            </w:r>
          </w:p>
        </w:tc>
      </w:tr>
    </w:tbl>
    <w:p w:rsidR="00014D68" w:rsidRDefault="002C5BDC" w:rsidP="00BC0C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br/>
      </w:r>
    </w:p>
    <w:p w:rsidR="009F46FD" w:rsidRPr="00BC0C60" w:rsidRDefault="002C5BDC" w:rsidP="00BC0C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5. Фінансо</w:t>
      </w:r>
      <w:r w:rsidR="00E9058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ве забезпечення реалізації Програми</w:t>
      </w:r>
    </w:p>
    <w:p w:rsidR="009F46FD" w:rsidRDefault="009F46FD" w:rsidP="00BC0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ab/>
        <w:t xml:space="preserve">Реалізація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Програми соціально-економічного та культурного розвитку Литовезької сільської ради на 2017-2020 роки </w:t>
      </w:r>
      <w:r>
        <w:rPr>
          <w:rFonts w:ascii="Times New Roman" w:hAnsi="Times New Roman" w:cs="Times New Roman"/>
          <w:sz w:val="28"/>
          <w:szCs w:val="28"/>
        </w:rPr>
        <w:t xml:space="preserve">буде відбуватись за рахунок державного, обласного, місцевого бюджетів, залучених коштів, інших джерел, незаборонених чинним законодавством України. </w:t>
      </w:r>
    </w:p>
    <w:p w:rsidR="00E20729" w:rsidRDefault="00E20729" w:rsidP="00BC0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5BDC" w:rsidRPr="002C5BDC" w:rsidRDefault="002C5BDC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6. Моніторинг та оцінка р</w:t>
      </w:r>
      <w:r w:rsidR="00E9058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езультативності реалізації Програми</w:t>
      </w:r>
    </w:p>
    <w:p w:rsidR="006B7C83" w:rsidRDefault="00E9058E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Моніторинг реалізації Програми</w:t>
      </w:r>
      <w:r w:rsidR="002C5BDC"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буде здій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снювати щоквартально відділ</w:t>
      </w:r>
      <w:r w:rsidR="002C5BDC"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фінансів 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відділ</w:t>
      </w:r>
      <w:r w:rsidR="002C5BDC"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бухгалтерс</w:t>
      </w:r>
      <w:r w:rsidR="008E6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ького обліку. </w:t>
      </w:r>
      <w:r w:rsidR="006B7C83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8E6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ровадження Програми </w:t>
      </w:r>
      <w:r w:rsidR="002C5BDC"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проводитиметься через реалізацію комплексу організаційних, фінансових та інформаційних заходів, які реалізовуватимуться всіма суб’єктами територіального розвитку.</w:t>
      </w:r>
    </w:p>
    <w:p w:rsidR="006B7C83" w:rsidRDefault="008E687B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Заходи, які включені до Програми</w:t>
      </w:r>
      <w:r w:rsidR="002C5BDC"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, стануть пріоритетними при фінансуванні як із місцевого бюджету, так і при надходження цільових коштів із бюджетів вищого рівня.</w:t>
      </w:r>
    </w:p>
    <w:p w:rsidR="002C5BDC" w:rsidRPr="002C5BDC" w:rsidRDefault="008E687B" w:rsidP="00BC0C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 ході моніторингу Пр</w:t>
      </w:r>
      <w:r w:rsidR="008F24A9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грами</w:t>
      </w:r>
      <w:r w:rsidR="002C5BDC"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вирішуватиметься ціла низка завдань:</w:t>
      </w:r>
    </w:p>
    <w:p w:rsidR="002C5BDC" w:rsidRPr="002C5BDC" w:rsidRDefault="002C5BDC" w:rsidP="00BC0C6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8E687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 за реалізацією Програми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цілому;</w:t>
      </w:r>
    </w:p>
    <w:p w:rsidR="006B7C83" w:rsidRDefault="002C5BDC" w:rsidP="00BC0C6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- оцінювання ступеня досягнення прогресу за цілями.</w:t>
      </w:r>
    </w:p>
    <w:p w:rsidR="002C5BDC" w:rsidRDefault="008E687B" w:rsidP="00BC0C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Програма</w:t>
      </w:r>
      <w:r w:rsidR="002C5BDC"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соціально-економічного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культурного</w:t>
      </w:r>
      <w:r w:rsidR="002C5BDC"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розвитку сільської ради стане першочерговим путівником у роботі сільської ради для зміцнення, покращення та вдосконалення показників соціально-економічного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культурного </w:t>
      </w:r>
      <w:r w:rsidR="002C5BDC"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розвитку </w:t>
      </w:r>
      <w:r w:rsidR="006B7C83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Литовезької об</w:t>
      </w:r>
      <w:r w:rsidR="006B7C83" w:rsidRPr="00460E95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6B7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єднаної </w:t>
      </w:r>
      <w:r w:rsidR="002C5BDC"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територіальної громади.</w:t>
      </w:r>
    </w:p>
    <w:p w:rsidR="006B7C83" w:rsidRDefault="006B7C83" w:rsidP="00BC0C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7C83" w:rsidRDefault="006B7C83" w:rsidP="00BC0C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C0C60" w:rsidRDefault="00BC0C60" w:rsidP="00BC0C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C0C60" w:rsidRDefault="00BC0C60" w:rsidP="00BC0C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C0C60" w:rsidRPr="002C5BDC" w:rsidRDefault="00BC0C60" w:rsidP="006E5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A6032" w:rsidRPr="006E5850" w:rsidRDefault="008E687B" w:rsidP="006E5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Секретар ради                                                                               О.</w:t>
      </w:r>
      <w:r w:rsidR="006B7C83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Л.</w:t>
      </w:r>
      <w:r w:rsidR="006B7C83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Касянчук</w:t>
      </w:r>
      <w:bookmarkEnd w:id="0"/>
    </w:p>
    <w:sectPr w:rsidR="008A6032" w:rsidRPr="006E5850" w:rsidSect="00BC0C60">
      <w:footerReference w:type="default" r:id="rId10"/>
      <w:pgSz w:w="11906" w:h="16838"/>
      <w:pgMar w:top="851" w:right="851" w:bottom="1135" w:left="1418" w:header="709" w:footer="9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8C7" w:rsidRDefault="00C828C7" w:rsidP="000F1B3C">
      <w:pPr>
        <w:spacing w:after="0" w:line="240" w:lineRule="auto"/>
      </w:pPr>
      <w:r>
        <w:separator/>
      </w:r>
    </w:p>
  </w:endnote>
  <w:endnote w:type="continuationSeparator" w:id="0">
    <w:p w:rsidR="00C828C7" w:rsidRDefault="00C828C7" w:rsidP="000F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16603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C0C60" w:rsidRPr="00BC0C60" w:rsidRDefault="00BC0C60" w:rsidP="00BC0C60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C0C6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C0C6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C0C6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50DE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BC0C6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8C7" w:rsidRDefault="00C828C7" w:rsidP="000F1B3C">
      <w:pPr>
        <w:spacing w:after="0" w:line="240" w:lineRule="auto"/>
      </w:pPr>
      <w:r>
        <w:separator/>
      </w:r>
    </w:p>
  </w:footnote>
  <w:footnote w:type="continuationSeparator" w:id="0">
    <w:p w:rsidR="00C828C7" w:rsidRDefault="00C828C7" w:rsidP="000F1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7DC"/>
    <w:multiLevelType w:val="multilevel"/>
    <w:tmpl w:val="84A05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65104"/>
    <w:multiLevelType w:val="multilevel"/>
    <w:tmpl w:val="8B76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03FEE"/>
    <w:multiLevelType w:val="hybridMultilevel"/>
    <w:tmpl w:val="4A9CA5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F2F9C"/>
    <w:multiLevelType w:val="hybridMultilevel"/>
    <w:tmpl w:val="4622F4D6"/>
    <w:lvl w:ilvl="0" w:tplc="E1982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27B42"/>
    <w:multiLevelType w:val="hybridMultilevel"/>
    <w:tmpl w:val="C8608D8E"/>
    <w:lvl w:ilvl="0" w:tplc="E1982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96DB3"/>
    <w:multiLevelType w:val="multilevel"/>
    <w:tmpl w:val="8B9E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CF3F30"/>
    <w:multiLevelType w:val="hybridMultilevel"/>
    <w:tmpl w:val="8676D6A2"/>
    <w:lvl w:ilvl="0" w:tplc="E1982F3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28202A2"/>
    <w:multiLevelType w:val="hybridMultilevel"/>
    <w:tmpl w:val="3F0048F8"/>
    <w:lvl w:ilvl="0" w:tplc="E1982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F70A0"/>
    <w:multiLevelType w:val="multilevel"/>
    <w:tmpl w:val="16700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5E3E57"/>
    <w:multiLevelType w:val="hybridMultilevel"/>
    <w:tmpl w:val="3A46F73E"/>
    <w:lvl w:ilvl="0" w:tplc="D130A9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15DE9"/>
    <w:multiLevelType w:val="multilevel"/>
    <w:tmpl w:val="1936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757F7"/>
    <w:multiLevelType w:val="multilevel"/>
    <w:tmpl w:val="B1BA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C4621C"/>
    <w:multiLevelType w:val="hybridMultilevel"/>
    <w:tmpl w:val="BFB8862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4C4476D"/>
    <w:multiLevelType w:val="multilevel"/>
    <w:tmpl w:val="EB74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4336D5"/>
    <w:multiLevelType w:val="hybridMultilevel"/>
    <w:tmpl w:val="C9F2D79A"/>
    <w:lvl w:ilvl="0" w:tplc="E1982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B1A2F"/>
    <w:multiLevelType w:val="hybridMultilevel"/>
    <w:tmpl w:val="4FCCD9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53C74B0A"/>
    <w:multiLevelType w:val="multilevel"/>
    <w:tmpl w:val="1EB8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115415"/>
    <w:multiLevelType w:val="multilevel"/>
    <w:tmpl w:val="E8A82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57352A"/>
    <w:multiLevelType w:val="multilevel"/>
    <w:tmpl w:val="A50A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0E2093"/>
    <w:multiLevelType w:val="multilevel"/>
    <w:tmpl w:val="BF0CA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CE366C"/>
    <w:multiLevelType w:val="multilevel"/>
    <w:tmpl w:val="0FF20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C21E9F"/>
    <w:multiLevelType w:val="hybridMultilevel"/>
    <w:tmpl w:val="207806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A3DDC"/>
    <w:multiLevelType w:val="multilevel"/>
    <w:tmpl w:val="A02EA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1A50CF"/>
    <w:multiLevelType w:val="hybridMultilevel"/>
    <w:tmpl w:val="A364CC04"/>
    <w:lvl w:ilvl="0" w:tplc="D130A9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C6A0C"/>
    <w:multiLevelType w:val="hybridMultilevel"/>
    <w:tmpl w:val="ADCCE1BA"/>
    <w:lvl w:ilvl="0" w:tplc="E1982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95336"/>
    <w:multiLevelType w:val="multilevel"/>
    <w:tmpl w:val="F982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10"/>
  </w:num>
  <w:num w:numId="5">
    <w:abstractNumId w:val="0"/>
  </w:num>
  <w:num w:numId="6">
    <w:abstractNumId w:val="5"/>
  </w:num>
  <w:num w:numId="7">
    <w:abstractNumId w:val="25"/>
  </w:num>
  <w:num w:numId="8">
    <w:abstractNumId w:val="15"/>
  </w:num>
  <w:num w:numId="9">
    <w:abstractNumId w:val="19"/>
  </w:num>
  <w:num w:numId="10">
    <w:abstractNumId w:val="22"/>
  </w:num>
  <w:num w:numId="11">
    <w:abstractNumId w:val="22"/>
    <w:lvlOverride w:ilvl="0">
      <w:startOverride w:val="3"/>
    </w:lvlOverride>
  </w:num>
  <w:num w:numId="12">
    <w:abstractNumId w:val="8"/>
  </w:num>
  <w:num w:numId="13">
    <w:abstractNumId w:val="8"/>
    <w:lvlOverride w:ilvl="0">
      <w:startOverride w:val="4"/>
    </w:lvlOverride>
  </w:num>
  <w:num w:numId="14">
    <w:abstractNumId w:val="20"/>
  </w:num>
  <w:num w:numId="15">
    <w:abstractNumId w:val="20"/>
    <w:lvlOverride w:ilvl="0">
      <w:startOverride w:val="5"/>
    </w:lvlOverride>
  </w:num>
  <w:num w:numId="16">
    <w:abstractNumId w:val="17"/>
  </w:num>
  <w:num w:numId="17">
    <w:abstractNumId w:val="17"/>
    <w:lvlOverride w:ilvl="0">
      <w:startOverride w:val="6"/>
    </w:lvlOverride>
  </w:num>
  <w:num w:numId="18">
    <w:abstractNumId w:val="18"/>
  </w:num>
  <w:num w:numId="19">
    <w:abstractNumId w:val="1"/>
  </w:num>
  <w:num w:numId="20">
    <w:abstractNumId w:val="23"/>
  </w:num>
  <w:num w:numId="21">
    <w:abstractNumId w:val="9"/>
  </w:num>
  <w:num w:numId="22">
    <w:abstractNumId w:val="2"/>
  </w:num>
  <w:num w:numId="23">
    <w:abstractNumId w:val="14"/>
  </w:num>
  <w:num w:numId="24">
    <w:abstractNumId w:val="12"/>
  </w:num>
  <w:num w:numId="25">
    <w:abstractNumId w:val="21"/>
  </w:num>
  <w:num w:numId="26">
    <w:abstractNumId w:val="4"/>
  </w:num>
  <w:num w:numId="27">
    <w:abstractNumId w:val="3"/>
  </w:num>
  <w:num w:numId="28">
    <w:abstractNumId w:val="24"/>
  </w:num>
  <w:num w:numId="29">
    <w:abstractNumId w:val="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DC"/>
    <w:rsid w:val="00010687"/>
    <w:rsid w:val="00014A53"/>
    <w:rsid w:val="00014D68"/>
    <w:rsid w:val="00014F20"/>
    <w:rsid w:val="00024048"/>
    <w:rsid w:val="00033C6C"/>
    <w:rsid w:val="00043F87"/>
    <w:rsid w:val="000449F9"/>
    <w:rsid w:val="000516F7"/>
    <w:rsid w:val="00066DAA"/>
    <w:rsid w:val="0008187A"/>
    <w:rsid w:val="000C487F"/>
    <w:rsid w:val="000F1B3C"/>
    <w:rsid w:val="000F2FB8"/>
    <w:rsid w:val="00126484"/>
    <w:rsid w:val="0015618E"/>
    <w:rsid w:val="0016682D"/>
    <w:rsid w:val="001940F7"/>
    <w:rsid w:val="00194EC9"/>
    <w:rsid w:val="001D2A95"/>
    <w:rsid w:val="00217315"/>
    <w:rsid w:val="0025136B"/>
    <w:rsid w:val="002C3EBD"/>
    <w:rsid w:val="002C5BDC"/>
    <w:rsid w:val="002D7FC5"/>
    <w:rsid w:val="002E7DE3"/>
    <w:rsid w:val="00304E78"/>
    <w:rsid w:val="0038574D"/>
    <w:rsid w:val="003920F9"/>
    <w:rsid w:val="003B7EB6"/>
    <w:rsid w:val="003E57A6"/>
    <w:rsid w:val="00460E95"/>
    <w:rsid w:val="00461BE0"/>
    <w:rsid w:val="00486A60"/>
    <w:rsid w:val="004A32C1"/>
    <w:rsid w:val="004A68F1"/>
    <w:rsid w:val="004A7DF4"/>
    <w:rsid w:val="004C557E"/>
    <w:rsid w:val="004C660D"/>
    <w:rsid w:val="004F294F"/>
    <w:rsid w:val="00506B84"/>
    <w:rsid w:val="00593B17"/>
    <w:rsid w:val="005C777F"/>
    <w:rsid w:val="005D43D5"/>
    <w:rsid w:val="005E0432"/>
    <w:rsid w:val="005F6463"/>
    <w:rsid w:val="005F74AC"/>
    <w:rsid w:val="006239D4"/>
    <w:rsid w:val="00625E31"/>
    <w:rsid w:val="00643333"/>
    <w:rsid w:val="0067730C"/>
    <w:rsid w:val="006969A1"/>
    <w:rsid w:val="006A7122"/>
    <w:rsid w:val="006B7C83"/>
    <w:rsid w:val="006D002B"/>
    <w:rsid w:val="006D6B65"/>
    <w:rsid w:val="006E5850"/>
    <w:rsid w:val="006F4FB8"/>
    <w:rsid w:val="00704755"/>
    <w:rsid w:val="00724FFD"/>
    <w:rsid w:val="007701FC"/>
    <w:rsid w:val="007C0CF8"/>
    <w:rsid w:val="00800E45"/>
    <w:rsid w:val="00823261"/>
    <w:rsid w:val="0084202B"/>
    <w:rsid w:val="00874C2F"/>
    <w:rsid w:val="0088110D"/>
    <w:rsid w:val="008A6032"/>
    <w:rsid w:val="008C43C9"/>
    <w:rsid w:val="008E0B2A"/>
    <w:rsid w:val="008E687B"/>
    <w:rsid w:val="008F183B"/>
    <w:rsid w:val="008F24A9"/>
    <w:rsid w:val="008F6B6E"/>
    <w:rsid w:val="009053D1"/>
    <w:rsid w:val="00943022"/>
    <w:rsid w:val="00952596"/>
    <w:rsid w:val="00967AFF"/>
    <w:rsid w:val="009B437E"/>
    <w:rsid w:val="009F0955"/>
    <w:rsid w:val="009F46FD"/>
    <w:rsid w:val="00A050DE"/>
    <w:rsid w:val="00A100F5"/>
    <w:rsid w:val="00A628AB"/>
    <w:rsid w:val="00A8173A"/>
    <w:rsid w:val="00A8312F"/>
    <w:rsid w:val="00A864BA"/>
    <w:rsid w:val="00AA57CF"/>
    <w:rsid w:val="00AE613C"/>
    <w:rsid w:val="00B01376"/>
    <w:rsid w:val="00B17198"/>
    <w:rsid w:val="00B2571B"/>
    <w:rsid w:val="00B41AE7"/>
    <w:rsid w:val="00BB4F8E"/>
    <w:rsid w:val="00BC0C60"/>
    <w:rsid w:val="00BC29D9"/>
    <w:rsid w:val="00BD04BF"/>
    <w:rsid w:val="00BD2A39"/>
    <w:rsid w:val="00BD7296"/>
    <w:rsid w:val="00BE135B"/>
    <w:rsid w:val="00C0469F"/>
    <w:rsid w:val="00C21241"/>
    <w:rsid w:val="00C3421D"/>
    <w:rsid w:val="00C633D6"/>
    <w:rsid w:val="00C655C6"/>
    <w:rsid w:val="00C7515D"/>
    <w:rsid w:val="00C828C7"/>
    <w:rsid w:val="00C87A2D"/>
    <w:rsid w:val="00C9508F"/>
    <w:rsid w:val="00C97C5A"/>
    <w:rsid w:val="00CA0825"/>
    <w:rsid w:val="00CC09B3"/>
    <w:rsid w:val="00CD38C3"/>
    <w:rsid w:val="00CD7BB7"/>
    <w:rsid w:val="00CF6FD9"/>
    <w:rsid w:val="00D74287"/>
    <w:rsid w:val="00DC0DD8"/>
    <w:rsid w:val="00DC4E62"/>
    <w:rsid w:val="00DD5BC9"/>
    <w:rsid w:val="00DF12AB"/>
    <w:rsid w:val="00DF194E"/>
    <w:rsid w:val="00E047AF"/>
    <w:rsid w:val="00E077BD"/>
    <w:rsid w:val="00E20729"/>
    <w:rsid w:val="00E256B2"/>
    <w:rsid w:val="00E446F4"/>
    <w:rsid w:val="00E9058E"/>
    <w:rsid w:val="00E93177"/>
    <w:rsid w:val="00E96124"/>
    <w:rsid w:val="00EB07BA"/>
    <w:rsid w:val="00EB236B"/>
    <w:rsid w:val="00ED6066"/>
    <w:rsid w:val="00F067EC"/>
    <w:rsid w:val="00F117C4"/>
    <w:rsid w:val="00F24E80"/>
    <w:rsid w:val="00F277C5"/>
    <w:rsid w:val="00F43D18"/>
    <w:rsid w:val="00F44544"/>
    <w:rsid w:val="00F604BB"/>
    <w:rsid w:val="00F830AF"/>
    <w:rsid w:val="00FA0EFD"/>
    <w:rsid w:val="00FF53CE"/>
    <w:rsid w:val="00FF57BE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A43FA9-4D4F-426E-B34B-1C73A7D3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7">
    <w:name w:val="Body text (7)_"/>
    <w:link w:val="Bodytext70"/>
    <w:locked/>
    <w:rsid w:val="006A7122"/>
    <w:rPr>
      <w:rFonts w:ascii="Arial" w:hAnsi="Arial"/>
      <w:b/>
      <w:bCs/>
      <w:shd w:val="clear" w:color="auto" w:fill="FFFFFF"/>
    </w:rPr>
  </w:style>
  <w:style w:type="paragraph" w:customStyle="1" w:styleId="Bodytext70">
    <w:name w:val="Body text (7)"/>
    <w:basedOn w:val="a"/>
    <w:link w:val="Bodytext7"/>
    <w:rsid w:val="006A7122"/>
    <w:pPr>
      <w:widowControl w:val="0"/>
      <w:shd w:val="clear" w:color="auto" w:fill="FFFFFF"/>
      <w:spacing w:before="1980" w:after="360" w:line="240" w:lineRule="atLeast"/>
      <w:jc w:val="center"/>
    </w:pPr>
    <w:rPr>
      <w:rFonts w:ascii="Arial" w:hAnsi="Arial"/>
      <w:b/>
      <w:bCs/>
    </w:rPr>
  </w:style>
  <w:style w:type="paragraph" w:styleId="a3">
    <w:name w:val="Normal (Web)"/>
    <w:basedOn w:val="a"/>
    <w:uiPriority w:val="99"/>
    <w:semiHidden/>
    <w:unhideWhenUsed/>
    <w:rsid w:val="004A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numbering" w:customStyle="1" w:styleId="1">
    <w:name w:val="Нет списка1"/>
    <w:next w:val="a2"/>
    <w:uiPriority w:val="99"/>
    <w:semiHidden/>
    <w:unhideWhenUsed/>
    <w:rsid w:val="000F1B3C"/>
  </w:style>
  <w:style w:type="numbering" w:customStyle="1" w:styleId="11">
    <w:name w:val="Нет списка11"/>
    <w:next w:val="a2"/>
    <w:uiPriority w:val="99"/>
    <w:semiHidden/>
    <w:unhideWhenUsed/>
    <w:rsid w:val="000F1B3C"/>
  </w:style>
  <w:style w:type="paragraph" w:customStyle="1" w:styleId="msonormal0">
    <w:name w:val="msonormal"/>
    <w:basedOn w:val="a"/>
    <w:rsid w:val="000F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0F1B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1B3C"/>
  </w:style>
  <w:style w:type="paragraph" w:styleId="a6">
    <w:name w:val="footer"/>
    <w:basedOn w:val="a"/>
    <w:link w:val="a7"/>
    <w:uiPriority w:val="99"/>
    <w:unhideWhenUsed/>
    <w:rsid w:val="000F1B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1B3C"/>
  </w:style>
  <w:style w:type="paragraph" w:styleId="a8">
    <w:name w:val="List Paragraph"/>
    <w:basedOn w:val="a"/>
    <w:uiPriority w:val="1"/>
    <w:qFormat/>
    <w:rsid w:val="000C487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E0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0B2A"/>
    <w:rPr>
      <w:rFonts w:ascii="Segoe UI" w:hAnsi="Segoe UI" w:cs="Segoe UI"/>
      <w:sz w:val="18"/>
      <w:szCs w:val="18"/>
    </w:rPr>
  </w:style>
  <w:style w:type="table" w:styleId="1-6">
    <w:name w:val="Medium Grid 1 Accent 6"/>
    <w:basedOn w:val="a1"/>
    <w:uiPriority w:val="67"/>
    <w:rsid w:val="004F294F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-1">
    <w:name w:val="Grid Table 1 Light"/>
    <w:basedOn w:val="a1"/>
    <w:uiPriority w:val="46"/>
    <w:rsid w:val="004F29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b">
    <w:name w:val="caption"/>
    <w:basedOn w:val="a"/>
    <w:next w:val="a"/>
    <w:uiPriority w:val="35"/>
    <w:unhideWhenUsed/>
    <w:qFormat/>
    <w:rsid w:val="00E256B2"/>
    <w:pPr>
      <w:spacing w:after="200" w:line="240" w:lineRule="auto"/>
    </w:pPr>
    <w:rPr>
      <w:i/>
      <w:iCs/>
      <w:color w:val="44546A" w:themeColor="text2"/>
      <w:sz w:val="18"/>
      <w:szCs w:val="18"/>
      <w:lang w:val="ru-RU"/>
    </w:rPr>
  </w:style>
  <w:style w:type="table" w:styleId="1-5">
    <w:name w:val="Medium Shading 1 Accent 5"/>
    <w:basedOn w:val="a1"/>
    <w:uiPriority w:val="63"/>
    <w:rsid w:val="00E256B2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7">
    <w:name w:val="List Table 7 Colorful"/>
    <w:basedOn w:val="a1"/>
    <w:uiPriority w:val="52"/>
    <w:rsid w:val="00E256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6">
    <w:name w:val="Grid Table 6 Colorful"/>
    <w:basedOn w:val="a1"/>
    <w:uiPriority w:val="51"/>
    <w:rsid w:val="00E256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c">
    <w:name w:val="annotation reference"/>
    <w:basedOn w:val="a0"/>
    <w:uiPriority w:val="99"/>
    <w:semiHidden/>
    <w:unhideWhenUsed/>
    <w:rsid w:val="00E256B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56B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56B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56B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56B2"/>
    <w:rPr>
      <w:b/>
      <w:bCs/>
      <w:sz w:val="20"/>
      <w:szCs w:val="20"/>
    </w:rPr>
  </w:style>
  <w:style w:type="table" w:styleId="-4">
    <w:name w:val="Light List Accent 4"/>
    <w:basedOn w:val="a1"/>
    <w:uiPriority w:val="61"/>
    <w:rsid w:val="000449F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2">
    <w:name w:val="List Table 2"/>
    <w:basedOn w:val="a1"/>
    <w:uiPriority w:val="47"/>
    <w:rsid w:val="000449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1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23192-E5B6-4764-8E68-F7ABF393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18985</Words>
  <Characters>10823</Characters>
  <Application>Microsoft Office Word</Application>
  <DocSecurity>0</DocSecurity>
  <Lines>90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</cp:revision>
  <cp:lastPrinted>2020-07-06T08:38:00Z</cp:lastPrinted>
  <dcterms:created xsi:type="dcterms:W3CDTF">2020-07-06T09:40:00Z</dcterms:created>
  <dcterms:modified xsi:type="dcterms:W3CDTF">2020-07-06T09:40:00Z</dcterms:modified>
</cp:coreProperties>
</file>