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8" w:rsidRDefault="002A3670">
      <w:pPr>
        <w:spacing w:before="69"/>
        <w:ind w:left="6663"/>
        <w:rPr>
          <w:sz w:val="24"/>
        </w:rPr>
      </w:pPr>
      <w:r>
        <w:rPr>
          <w:sz w:val="24"/>
        </w:rPr>
        <w:t>ЗАТВЕРДЖЕНО</w:t>
      </w:r>
    </w:p>
    <w:p w:rsidR="00CA7338" w:rsidRDefault="002A3670">
      <w:pPr>
        <w:ind w:left="6663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CA7338" w:rsidRDefault="0011494C">
      <w:pPr>
        <w:tabs>
          <w:tab w:val="left" w:pos="8757"/>
          <w:tab w:val="left" w:pos="9531"/>
        </w:tabs>
        <w:ind w:left="6663"/>
        <w:rPr>
          <w:sz w:val="24"/>
        </w:rPr>
      </w:pPr>
      <w:r>
        <w:rPr>
          <w:sz w:val="24"/>
          <w:u w:val="single"/>
        </w:rPr>
        <w:t>25.11.2022 р.</w:t>
      </w:r>
      <w:r w:rsidR="002A3670">
        <w:rPr>
          <w:sz w:val="24"/>
        </w:rPr>
        <w:t>№</w:t>
      </w:r>
      <w:r>
        <w:rPr>
          <w:sz w:val="24"/>
        </w:rPr>
        <w:t xml:space="preserve"> 5277</w:t>
      </w:r>
      <w:r w:rsidR="002A3670">
        <w:rPr>
          <w:sz w:val="24"/>
          <w:u w:val="single"/>
        </w:rPr>
        <w:tab/>
      </w:r>
      <w:r w:rsidR="002A3670">
        <w:rPr>
          <w:sz w:val="24"/>
        </w:rPr>
        <w:t>/5</w:t>
      </w:r>
    </w:p>
    <w:p w:rsidR="00CA7338" w:rsidRDefault="00CA7338">
      <w:pPr>
        <w:rPr>
          <w:sz w:val="26"/>
        </w:rPr>
      </w:pPr>
    </w:p>
    <w:p w:rsidR="00CA7338" w:rsidRDefault="00CA7338"/>
    <w:p w:rsidR="00CA7338" w:rsidRDefault="002A3670">
      <w:pPr>
        <w:pStyle w:val="a3"/>
        <w:ind w:left="945" w:right="503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CA7338" w:rsidRDefault="002A3670">
      <w:pPr>
        <w:pStyle w:val="a3"/>
        <w:ind w:left="948" w:right="503"/>
        <w:jc w:val="center"/>
      </w:pPr>
      <w:r>
        <w:t>адміністративної послуги з державної реєстрації припинення юридичної особи в результаті її</w:t>
      </w:r>
      <w:r>
        <w:rPr>
          <w:spacing w:val="-57"/>
        </w:rPr>
        <w:t xml:space="preserve"> </w:t>
      </w:r>
      <w:r>
        <w:t>реорганізації</w:t>
      </w:r>
      <w:r>
        <w:rPr>
          <w:spacing w:val="-2"/>
        </w:rPr>
        <w:t xml:space="preserve"> </w:t>
      </w:r>
      <w:r>
        <w:t>(крім громадського</w:t>
      </w:r>
      <w:r>
        <w:rPr>
          <w:spacing w:val="-1"/>
        </w:rPr>
        <w:t xml:space="preserve"> </w:t>
      </w:r>
      <w:r>
        <w:t>формування релігійної</w:t>
      </w:r>
      <w:r>
        <w:rPr>
          <w:spacing w:val="-2"/>
        </w:rPr>
        <w:t xml:space="preserve"> </w:t>
      </w:r>
      <w:r>
        <w:t>організації)</w:t>
      </w:r>
    </w:p>
    <w:p w:rsidR="00CA7338" w:rsidRDefault="00CA7338">
      <w:pPr>
        <w:spacing w:before="8"/>
        <w:rPr>
          <w:b/>
          <w:sz w:val="19"/>
        </w:rPr>
      </w:pPr>
    </w:p>
    <w:p w:rsidR="0011494C" w:rsidRPr="00060A3F" w:rsidRDefault="0011494C" w:rsidP="0011494C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11494C" w:rsidRPr="00060A3F" w:rsidRDefault="0011494C" w:rsidP="0011494C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CA7338" w:rsidRDefault="00CA7338">
      <w:pPr>
        <w:spacing w:before="11"/>
        <w:rPr>
          <w:sz w:val="19"/>
        </w:r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CA7338">
        <w:trPr>
          <w:trHeight w:val="661"/>
        </w:trPr>
        <w:tc>
          <w:tcPr>
            <w:tcW w:w="10912" w:type="dxa"/>
            <w:gridSpan w:val="3"/>
          </w:tcPr>
          <w:p w:rsidR="00CA7338" w:rsidRDefault="002A3670">
            <w:pPr>
              <w:pStyle w:val="TableParagraph"/>
              <w:spacing w:before="55"/>
              <w:ind w:left="2840" w:right="2164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11494C" w:rsidTr="0011494C">
        <w:trPr>
          <w:trHeight w:val="612"/>
        </w:trPr>
        <w:tc>
          <w:tcPr>
            <w:tcW w:w="532" w:type="dxa"/>
          </w:tcPr>
          <w:p w:rsidR="0011494C" w:rsidRDefault="0011494C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212" w:type="dxa"/>
          </w:tcPr>
          <w:p w:rsidR="0011494C" w:rsidRDefault="0011494C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68" w:type="dxa"/>
          </w:tcPr>
          <w:p w:rsidR="0011494C" w:rsidRPr="003B62D5" w:rsidRDefault="0011494C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11494C">
        <w:trPr>
          <w:trHeight w:val="666"/>
        </w:trPr>
        <w:tc>
          <w:tcPr>
            <w:tcW w:w="532" w:type="dxa"/>
          </w:tcPr>
          <w:p w:rsidR="0011494C" w:rsidRDefault="0011494C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212" w:type="dxa"/>
          </w:tcPr>
          <w:p w:rsidR="0011494C" w:rsidRDefault="0011494C" w:rsidP="003267A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8" w:type="dxa"/>
          </w:tcPr>
          <w:p w:rsidR="0011494C" w:rsidRPr="003B62D5" w:rsidRDefault="0011494C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11494C" w:rsidRPr="003B62D5" w:rsidRDefault="0011494C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11494C" w:rsidRDefault="0011494C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11494C">
        <w:trPr>
          <w:trHeight w:val="942"/>
        </w:trPr>
        <w:tc>
          <w:tcPr>
            <w:tcW w:w="532" w:type="dxa"/>
          </w:tcPr>
          <w:p w:rsidR="0011494C" w:rsidRDefault="0011494C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212" w:type="dxa"/>
          </w:tcPr>
          <w:p w:rsidR="0011494C" w:rsidRDefault="0011494C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68" w:type="dxa"/>
          </w:tcPr>
          <w:p w:rsidR="0011494C" w:rsidRPr="003B62D5" w:rsidRDefault="0011494C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8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11494C" w:rsidRDefault="0011494C" w:rsidP="003267A3">
            <w:pPr>
              <w:pStyle w:val="TableParagraph"/>
              <w:ind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CA7338">
        <w:trPr>
          <w:trHeight w:val="390"/>
        </w:trPr>
        <w:tc>
          <w:tcPr>
            <w:tcW w:w="10912" w:type="dxa"/>
            <w:gridSpan w:val="3"/>
          </w:tcPr>
          <w:p w:rsidR="00CA7338" w:rsidRDefault="002A3670">
            <w:pPr>
              <w:pStyle w:val="TableParagraph"/>
              <w:ind w:left="124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A7338">
        <w:trPr>
          <w:trHeight w:val="666"/>
        </w:trPr>
        <w:tc>
          <w:tcPr>
            <w:tcW w:w="532" w:type="dxa"/>
          </w:tcPr>
          <w:p w:rsidR="00CA7338" w:rsidRDefault="002A367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CA7338">
        <w:trPr>
          <w:trHeight w:val="942"/>
        </w:trPr>
        <w:tc>
          <w:tcPr>
            <w:tcW w:w="532" w:type="dxa"/>
          </w:tcPr>
          <w:p w:rsidR="00CA7338" w:rsidRDefault="002A367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574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CA7338" w:rsidRDefault="002A3670">
            <w:pPr>
              <w:pStyle w:val="TableParagraph"/>
              <w:spacing w:before="0"/>
              <w:ind w:right="34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CA7338">
        <w:trPr>
          <w:trHeight w:val="4530"/>
        </w:trPr>
        <w:tc>
          <w:tcPr>
            <w:tcW w:w="532" w:type="dxa"/>
          </w:tcPr>
          <w:p w:rsidR="00CA7338" w:rsidRDefault="002A367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412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left="286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CA7338" w:rsidRDefault="002A367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A7338" w:rsidRDefault="002A3670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CA7338">
        <w:trPr>
          <w:trHeight w:val="390"/>
        </w:trPr>
        <w:tc>
          <w:tcPr>
            <w:tcW w:w="10912" w:type="dxa"/>
            <w:gridSpan w:val="3"/>
          </w:tcPr>
          <w:p w:rsidR="00CA7338" w:rsidRDefault="002A3670">
            <w:pPr>
              <w:pStyle w:val="TableParagraph"/>
              <w:ind w:left="3023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CA7338">
        <w:trPr>
          <w:trHeight w:val="666"/>
        </w:trPr>
        <w:tc>
          <w:tcPr>
            <w:tcW w:w="532" w:type="dxa"/>
          </w:tcPr>
          <w:p w:rsidR="00CA7338" w:rsidRDefault="002A367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tabs>
                <w:tab w:val="left" w:pos="1607"/>
              </w:tabs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припинення,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ліквідатора,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  <w:tr w:rsidR="00CA7338">
        <w:trPr>
          <w:trHeight w:val="666"/>
        </w:trPr>
        <w:tc>
          <w:tcPr>
            <w:tcW w:w="532" w:type="dxa"/>
          </w:tcPr>
          <w:p w:rsidR="00CA7338" w:rsidRDefault="002A3670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279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реорганізації;</w:t>
            </w:r>
          </w:p>
        </w:tc>
      </w:tr>
    </w:tbl>
    <w:p w:rsidR="00CA7338" w:rsidRDefault="002A3670">
      <w:pPr>
        <w:ind w:left="1570"/>
        <w:rPr>
          <w:sz w:val="14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CA7338" w:rsidRDefault="002A3670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CA7338" w:rsidRDefault="002A3670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3806-19.1.2-22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CA7338" w:rsidRDefault="002A3670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CA7338" w:rsidRDefault="002A3670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CA7338" w:rsidRDefault="002A3670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CA7338" w:rsidRDefault="002A3670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CA7338" w:rsidRDefault="00CA7338">
      <w:pPr>
        <w:spacing w:line="199" w:lineRule="exact"/>
        <w:rPr>
          <w:sz w:val="18"/>
        </w:rPr>
        <w:sectPr w:rsidR="00CA7338">
          <w:type w:val="continuous"/>
          <w:pgSz w:w="11910" w:h="16840"/>
          <w:pgMar w:top="480" w:right="30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CA7338">
        <w:trPr>
          <w:trHeight w:val="14460"/>
        </w:trPr>
        <w:tc>
          <w:tcPr>
            <w:tcW w:w="532" w:type="dxa"/>
          </w:tcPr>
          <w:p w:rsidR="00CA7338" w:rsidRDefault="00CA733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spacing w:before="55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spacing w:before="55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CA7338" w:rsidRDefault="002A367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злиття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підлягають довгостроковому зберіганню,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припинення юридичної особи в результаті поділу, злиття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створення юридичної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громадських формувань», – у разі припинення юридичної особи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– у разі припинення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 приєднання.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як юридичних осіб після добровільного об’єднання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 громад здійснюється з урахуванням 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Законом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громад».</w:t>
            </w:r>
          </w:p>
          <w:p w:rsidR="00CA7338" w:rsidRDefault="002A367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адміністрації»,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  <w:p w:rsidR="00CA7338" w:rsidRDefault="002A367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</w:p>
        </w:tc>
      </w:tr>
    </w:tbl>
    <w:p w:rsidR="00CA7338" w:rsidRDefault="00CA7338">
      <w:pPr>
        <w:rPr>
          <w:sz w:val="24"/>
        </w:rPr>
        <w:sectPr w:rsidR="00CA7338">
          <w:headerReference w:type="default" r:id="rId11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CA7338">
        <w:trPr>
          <w:trHeight w:val="1765"/>
        </w:trPr>
        <w:tc>
          <w:tcPr>
            <w:tcW w:w="532" w:type="dxa"/>
          </w:tcPr>
          <w:p w:rsidR="00CA7338" w:rsidRDefault="00CA733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12" w:type="dxa"/>
          </w:tcPr>
          <w:p w:rsidR="00CA7338" w:rsidRDefault="00CA7338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spacing w:before="5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CA7338" w:rsidRDefault="002A3670">
            <w:pPr>
              <w:pStyle w:val="TableParagraph"/>
              <w:tabs>
                <w:tab w:val="left" w:pos="891"/>
                <w:tab w:val="left" w:pos="1660"/>
                <w:tab w:val="left" w:pos="3062"/>
                <w:tab w:val="left" w:pos="4748"/>
                <w:tab w:val="left" w:pos="5284"/>
                <w:tab w:val="left" w:pos="6805"/>
              </w:tabs>
              <w:spacing w:before="0"/>
              <w:ind w:right="36" w:firstLine="21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цілей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  <w:t>реєстраційних</w:t>
            </w:r>
            <w:r>
              <w:rPr>
                <w:sz w:val="24"/>
              </w:rPr>
              <w:tab/>
              <w:t>дій</w:t>
            </w:r>
            <w:r>
              <w:rPr>
                <w:sz w:val="24"/>
              </w:rPr>
              <w:tab/>
              <w:t>документом,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CA7338" w:rsidRDefault="002A367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CA7338" w:rsidRDefault="002A3670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</w:tabs>
              <w:spacing w:before="0"/>
              <w:ind w:left="62" w:right="34" w:firstLine="217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CA7338">
        <w:trPr>
          <w:trHeight w:val="1770"/>
        </w:trPr>
        <w:tc>
          <w:tcPr>
            <w:tcW w:w="532" w:type="dxa"/>
          </w:tcPr>
          <w:p w:rsidR="00CA7338" w:rsidRDefault="002A3670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23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CA7338" w:rsidRDefault="002A3670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CA7338">
        <w:trPr>
          <w:trHeight w:val="942"/>
        </w:trPr>
        <w:tc>
          <w:tcPr>
            <w:tcW w:w="532" w:type="dxa"/>
          </w:tcPr>
          <w:p w:rsidR="00CA7338" w:rsidRDefault="002A3670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CA7338">
        <w:trPr>
          <w:trHeight w:val="942"/>
        </w:trPr>
        <w:tc>
          <w:tcPr>
            <w:tcW w:w="532" w:type="dxa"/>
          </w:tcPr>
          <w:p w:rsidR="00CA7338" w:rsidRDefault="002A3670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CA7338">
        <w:trPr>
          <w:trHeight w:val="8946"/>
        </w:trPr>
        <w:tc>
          <w:tcPr>
            <w:tcW w:w="532" w:type="dxa"/>
          </w:tcPr>
          <w:p w:rsidR="00CA7338" w:rsidRDefault="002A3670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2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CA7338" w:rsidRDefault="002A3670">
            <w:pPr>
              <w:pStyle w:val="TableParagraph"/>
              <w:spacing w:before="0"/>
              <w:ind w:left="279" w:right="3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відомостей,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CA7338" w:rsidRDefault="002A3670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CA7338" w:rsidRDefault="002A3670"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CA7338" w:rsidRDefault="002A3670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A7338" w:rsidRDefault="002A367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A7338" w:rsidRDefault="002A3670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подані: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 відсутній запис 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утвореної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</w:p>
        </w:tc>
      </w:tr>
    </w:tbl>
    <w:p w:rsidR="00CA7338" w:rsidRDefault="00CA7338">
      <w:pPr>
        <w:rPr>
          <w:sz w:val="24"/>
        </w:rPr>
        <w:sectPr w:rsidR="00CA7338">
          <w:pgSz w:w="11910" w:h="16840"/>
          <w:pgMar w:top="700" w:right="30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CA7338">
        <w:trPr>
          <w:trHeight w:val="4525"/>
        </w:trPr>
        <w:tc>
          <w:tcPr>
            <w:tcW w:w="532" w:type="dxa"/>
          </w:tcPr>
          <w:p w:rsidR="00CA7338" w:rsidRDefault="00CA733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212" w:type="dxa"/>
          </w:tcPr>
          <w:p w:rsidR="00CA7338" w:rsidRDefault="00CA7338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spacing w:before="55"/>
              <w:ind w:right="0"/>
              <w:rPr>
                <w:sz w:val="24"/>
              </w:rPr>
            </w:pPr>
            <w:r>
              <w:rPr>
                <w:sz w:val="24"/>
              </w:rPr>
              <w:t>злиття,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приєднання,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акціонерного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паперів;</w:t>
            </w:r>
          </w:p>
          <w:p w:rsidR="00CA7338" w:rsidRDefault="002A367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 на загальнообов’язкове державне соціальне страхування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узгоджений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 заборгованості із сплати страхових коштів до Пенсійного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фондів соціального страхування;</w:t>
            </w:r>
          </w:p>
          <w:p w:rsidR="00CA7338" w:rsidRDefault="002A3670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</w:p>
        </w:tc>
      </w:tr>
      <w:tr w:rsidR="00CA7338">
        <w:trPr>
          <w:trHeight w:val="1494"/>
        </w:trPr>
        <w:tc>
          <w:tcPr>
            <w:tcW w:w="532" w:type="dxa"/>
          </w:tcPr>
          <w:p w:rsidR="00CA7338" w:rsidRDefault="002A3670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CA7338">
        <w:trPr>
          <w:trHeight w:val="2046"/>
        </w:trPr>
        <w:tc>
          <w:tcPr>
            <w:tcW w:w="532" w:type="dxa"/>
          </w:tcPr>
          <w:p w:rsidR="00CA7338" w:rsidRDefault="002A3670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CA7338" w:rsidRDefault="002A3670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8" w:type="dxa"/>
          </w:tcPr>
          <w:p w:rsidR="00CA7338" w:rsidRDefault="002A3670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CA7338" w:rsidRDefault="002A3670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CA7338" w:rsidRDefault="002A3670">
      <w:pPr>
        <w:ind w:left="709"/>
        <w:rPr>
          <w:sz w:val="14"/>
        </w:rPr>
      </w:pPr>
      <w:r>
        <w:rPr>
          <w:sz w:val="14"/>
        </w:rPr>
        <w:t>*</w:t>
      </w:r>
      <w:r>
        <w:rPr>
          <w:spacing w:val="32"/>
          <w:sz w:val="14"/>
        </w:rPr>
        <w:t xml:space="preserve"> </w:t>
      </w:r>
      <w:r>
        <w:rPr>
          <w:sz w:val="14"/>
        </w:rPr>
        <w:t>Після</w:t>
      </w:r>
      <w:r>
        <w:rPr>
          <w:spacing w:val="3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3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32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3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3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32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32"/>
          <w:sz w:val="14"/>
        </w:rPr>
        <w:t xml:space="preserve"> </w:t>
      </w:r>
      <w:r>
        <w:rPr>
          <w:sz w:val="14"/>
        </w:rPr>
        <w:t>які</w:t>
      </w:r>
      <w:r>
        <w:rPr>
          <w:spacing w:val="32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32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3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32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32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CA7338" w:rsidRDefault="00CA7338">
      <w:pPr>
        <w:spacing w:before="11"/>
        <w:rPr>
          <w:sz w:val="23"/>
        </w:rPr>
      </w:pPr>
    </w:p>
    <w:p w:rsidR="00CA7338" w:rsidRDefault="002A3670">
      <w:pPr>
        <w:pStyle w:val="a3"/>
        <w:ind w:left="567"/>
      </w:pPr>
      <w:r>
        <w:t>Директор Департаменту</w:t>
      </w:r>
    </w:p>
    <w:p w:rsidR="00CA7338" w:rsidRDefault="002A3670">
      <w:pPr>
        <w:pStyle w:val="a3"/>
        <w:tabs>
          <w:tab w:val="left" w:pos="8890"/>
        </w:tabs>
        <w:ind w:left="567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CA7338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D1" w:rsidRDefault="008C56D1">
      <w:r>
        <w:separator/>
      </w:r>
    </w:p>
  </w:endnote>
  <w:endnote w:type="continuationSeparator" w:id="0">
    <w:p w:rsidR="008C56D1" w:rsidRDefault="008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D1" w:rsidRDefault="008C56D1">
      <w:r>
        <w:separator/>
      </w:r>
    </w:p>
  </w:footnote>
  <w:footnote w:type="continuationSeparator" w:id="0">
    <w:p w:rsidR="008C56D1" w:rsidRDefault="008C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38" w:rsidRDefault="008C56D1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0.8pt;width:12pt;height:15.3pt;z-index:-251658752;mso-position-horizontal-relative:page;mso-position-vertical-relative:page" filled="f" stroked="f">
          <v:textbox inset="0,0,0,0">
            <w:txbxContent>
              <w:p w:rsidR="00CA7338" w:rsidRDefault="002A367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494C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0B4B"/>
    <w:multiLevelType w:val="hybridMultilevel"/>
    <w:tmpl w:val="FB86FE00"/>
    <w:lvl w:ilvl="0" w:tplc="D35E5F0E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1E16C4">
      <w:numFmt w:val="bullet"/>
      <w:lvlText w:val="•"/>
      <w:lvlJc w:val="left"/>
      <w:pPr>
        <w:ind w:left="1200" w:hanging="260"/>
      </w:pPr>
      <w:rPr>
        <w:rFonts w:hint="default"/>
        <w:lang w:val="uk-UA" w:eastAsia="en-US" w:bidi="ar-SA"/>
      </w:rPr>
    </w:lvl>
    <w:lvl w:ilvl="2" w:tplc="C5D2A744">
      <w:numFmt w:val="bullet"/>
      <w:lvlText w:val="•"/>
      <w:lvlJc w:val="left"/>
      <w:pPr>
        <w:ind w:left="1861" w:hanging="260"/>
      </w:pPr>
      <w:rPr>
        <w:rFonts w:hint="default"/>
        <w:lang w:val="uk-UA" w:eastAsia="en-US" w:bidi="ar-SA"/>
      </w:rPr>
    </w:lvl>
    <w:lvl w:ilvl="3" w:tplc="54304E2C">
      <w:numFmt w:val="bullet"/>
      <w:lvlText w:val="•"/>
      <w:lvlJc w:val="left"/>
      <w:pPr>
        <w:ind w:left="2522" w:hanging="260"/>
      </w:pPr>
      <w:rPr>
        <w:rFonts w:hint="default"/>
        <w:lang w:val="uk-UA" w:eastAsia="en-US" w:bidi="ar-SA"/>
      </w:rPr>
    </w:lvl>
    <w:lvl w:ilvl="4" w:tplc="82F8C36E">
      <w:numFmt w:val="bullet"/>
      <w:lvlText w:val="•"/>
      <w:lvlJc w:val="left"/>
      <w:pPr>
        <w:ind w:left="3183" w:hanging="260"/>
      </w:pPr>
      <w:rPr>
        <w:rFonts w:hint="default"/>
        <w:lang w:val="uk-UA" w:eastAsia="en-US" w:bidi="ar-SA"/>
      </w:rPr>
    </w:lvl>
    <w:lvl w:ilvl="5" w:tplc="CA0CA57C">
      <w:numFmt w:val="bullet"/>
      <w:lvlText w:val="•"/>
      <w:lvlJc w:val="left"/>
      <w:pPr>
        <w:ind w:left="3844" w:hanging="260"/>
      </w:pPr>
      <w:rPr>
        <w:rFonts w:hint="default"/>
        <w:lang w:val="uk-UA" w:eastAsia="en-US" w:bidi="ar-SA"/>
      </w:rPr>
    </w:lvl>
    <w:lvl w:ilvl="6" w:tplc="2B141A0E">
      <w:numFmt w:val="bullet"/>
      <w:lvlText w:val="•"/>
      <w:lvlJc w:val="left"/>
      <w:pPr>
        <w:ind w:left="4504" w:hanging="260"/>
      </w:pPr>
      <w:rPr>
        <w:rFonts w:hint="default"/>
        <w:lang w:val="uk-UA" w:eastAsia="en-US" w:bidi="ar-SA"/>
      </w:rPr>
    </w:lvl>
    <w:lvl w:ilvl="7" w:tplc="E8828740">
      <w:numFmt w:val="bullet"/>
      <w:lvlText w:val="•"/>
      <w:lvlJc w:val="left"/>
      <w:pPr>
        <w:ind w:left="5165" w:hanging="260"/>
      </w:pPr>
      <w:rPr>
        <w:rFonts w:hint="default"/>
        <w:lang w:val="uk-UA" w:eastAsia="en-US" w:bidi="ar-SA"/>
      </w:rPr>
    </w:lvl>
    <w:lvl w:ilvl="8" w:tplc="2D90714E">
      <w:numFmt w:val="bullet"/>
      <w:lvlText w:val="•"/>
      <w:lvlJc w:val="left"/>
      <w:pPr>
        <w:ind w:left="5826" w:hanging="260"/>
      </w:pPr>
      <w:rPr>
        <w:rFonts w:hint="default"/>
        <w:lang w:val="uk-UA" w:eastAsia="en-US" w:bidi="ar-SA"/>
      </w:rPr>
    </w:lvl>
  </w:abstractNum>
  <w:abstractNum w:abstractNumId="1">
    <w:nsid w:val="64671D16"/>
    <w:multiLevelType w:val="hybridMultilevel"/>
    <w:tmpl w:val="3D1A6656"/>
    <w:lvl w:ilvl="0" w:tplc="6C94C644">
      <w:start w:val="1"/>
      <w:numFmt w:val="decimal"/>
      <w:lvlText w:val="%1."/>
      <w:lvlJc w:val="left"/>
      <w:pPr>
        <w:ind w:left="6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63A1BB4">
      <w:numFmt w:val="bullet"/>
      <w:lvlText w:val="•"/>
      <w:lvlJc w:val="left"/>
      <w:pPr>
        <w:ind w:left="768" w:hanging="275"/>
      </w:pPr>
      <w:rPr>
        <w:rFonts w:hint="default"/>
        <w:lang w:val="uk-UA" w:eastAsia="en-US" w:bidi="ar-SA"/>
      </w:rPr>
    </w:lvl>
    <w:lvl w:ilvl="2" w:tplc="13AE67F8">
      <w:numFmt w:val="bullet"/>
      <w:lvlText w:val="•"/>
      <w:lvlJc w:val="left"/>
      <w:pPr>
        <w:ind w:left="1477" w:hanging="275"/>
      </w:pPr>
      <w:rPr>
        <w:rFonts w:hint="default"/>
        <w:lang w:val="uk-UA" w:eastAsia="en-US" w:bidi="ar-SA"/>
      </w:rPr>
    </w:lvl>
    <w:lvl w:ilvl="3" w:tplc="EE98E29E">
      <w:numFmt w:val="bullet"/>
      <w:lvlText w:val="•"/>
      <w:lvlJc w:val="left"/>
      <w:pPr>
        <w:ind w:left="2186" w:hanging="275"/>
      </w:pPr>
      <w:rPr>
        <w:rFonts w:hint="default"/>
        <w:lang w:val="uk-UA" w:eastAsia="en-US" w:bidi="ar-SA"/>
      </w:rPr>
    </w:lvl>
    <w:lvl w:ilvl="4" w:tplc="66EE41F0">
      <w:numFmt w:val="bullet"/>
      <w:lvlText w:val="•"/>
      <w:lvlJc w:val="left"/>
      <w:pPr>
        <w:ind w:left="2895" w:hanging="275"/>
      </w:pPr>
      <w:rPr>
        <w:rFonts w:hint="default"/>
        <w:lang w:val="uk-UA" w:eastAsia="en-US" w:bidi="ar-SA"/>
      </w:rPr>
    </w:lvl>
    <w:lvl w:ilvl="5" w:tplc="11B21DEC">
      <w:numFmt w:val="bullet"/>
      <w:lvlText w:val="•"/>
      <w:lvlJc w:val="left"/>
      <w:pPr>
        <w:ind w:left="3604" w:hanging="275"/>
      </w:pPr>
      <w:rPr>
        <w:rFonts w:hint="default"/>
        <w:lang w:val="uk-UA" w:eastAsia="en-US" w:bidi="ar-SA"/>
      </w:rPr>
    </w:lvl>
    <w:lvl w:ilvl="6" w:tplc="358ED5F2">
      <w:numFmt w:val="bullet"/>
      <w:lvlText w:val="•"/>
      <w:lvlJc w:val="left"/>
      <w:pPr>
        <w:ind w:left="4312" w:hanging="275"/>
      </w:pPr>
      <w:rPr>
        <w:rFonts w:hint="default"/>
        <w:lang w:val="uk-UA" w:eastAsia="en-US" w:bidi="ar-SA"/>
      </w:rPr>
    </w:lvl>
    <w:lvl w:ilvl="7" w:tplc="479A325C">
      <w:numFmt w:val="bullet"/>
      <w:lvlText w:val="•"/>
      <w:lvlJc w:val="left"/>
      <w:pPr>
        <w:ind w:left="5021" w:hanging="275"/>
      </w:pPr>
      <w:rPr>
        <w:rFonts w:hint="default"/>
        <w:lang w:val="uk-UA" w:eastAsia="en-US" w:bidi="ar-SA"/>
      </w:rPr>
    </w:lvl>
    <w:lvl w:ilvl="8" w:tplc="4D8A3304">
      <w:numFmt w:val="bullet"/>
      <w:lvlText w:val="•"/>
      <w:lvlJc w:val="left"/>
      <w:pPr>
        <w:ind w:left="5730" w:hanging="27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7338"/>
    <w:rsid w:val="0011494C"/>
    <w:rsid w:val="002A3670"/>
    <w:rsid w:val="008C56D1"/>
    <w:rsid w:val="00CA7338"/>
    <w:rsid w:val="00C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57-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2023-02-15T13:56:00Z</dcterms:created>
  <dcterms:modified xsi:type="dcterms:W3CDTF">2023-02-17T08:55:00Z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