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7" w:rsidRDefault="00932367" w:rsidP="00932367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>ЗАТВЕРДЖЕНО</w:t>
      </w:r>
    </w:p>
    <w:p w:rsidR="00932367" w:rsidRDefault="00932367" w:rsidP="00932367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Наказ </w:t>
      </w:r>
      <w:r>
        <w:rPr>
          <w:color w:val="000000"/>
          <w:lang w:val="uk-UA" w:eastAsia="uk-UA"/>
        </w:rPr>
        <w:t>управління</w:t>
      </w:r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соц</w:t>
      </w:r>
      <w:proofErr w:type="gramEnd"/>
      <w:r>
        <w:rPr>
          <w:color w:val="000000"/>
          <w:lang w:eastAsia="uk-UA"/>
        </w:rPr>
        <w:t>іально</w:t>
      </w:r>
      <w:r>
        <w:rPr>
          <w:color w:val="000000"/>
          <w:lang w:val="uk-UA" w:eastAsia="uk-UA"/>
        </w:rPr>
        <w:t>го</w:t>
      </w:r>
      <w:proofErr w:type="spellEnd"/>
      <w:r>
        <w:rPr>
          <w:color w:val="000000"/>
          <w:lang w:val="uk-UA" w:eastAsia="uk-UA"/>
        </w:rPr>
        <w:t xml:space="preserve"> захисту населення Володимир-Волинської РДА </w:t>
      </w:r>
    </w:p>
    <w:p w:rsidR="00932367" w:rsidRDefault="00932367" w:rsidP="00932367">
      <w:pPr>
        <w:ind w:left="6379" w:right="-1"/>
        <w:rPr>
          <w:lang w:val="uk-UA" w:eastAsia="uk-UA"/>
        </w:rPr>
      </w:pPr>
      <w:r>
        <w:rPr>
          <w:color w:val="000000"/>
          <w:u w:val="single"/>
          <w:lang w:eastAsia="uk-UA"/>
        </w:rPr>
        <w:t xml:space="preserve">  </w:t>
      </w:r>
      <w:r>
        <w:rPr>
          <w:color w:val="000000"/>
          <w:u w:val="single"/>
          <w:lang w:val="uk-UA" w:eastAsia="uk-UA"/>
        </w:rPr>
        <w:t>01</w:t>
      </w:r>
      <w:r>
        <w:rPr>
          <w:color w:val="000000"/>
          <w:u w:val="single"/>
          <w:lang w:eastAsia="uk-UA"/>
        </w:rPr>
        <w:t>.</w:t>
      </w:r>
      <w:r>
        <w:rPr>
          <w:color w:val="000000"/>
          <w:u w:val="single"/>
          <w:lang w:val="uk-UA" w:eastAsia="uk-UA"/>
        </w:rPr>
        <w:t>10</w:t>
      </w:r>
      <w:r>
        <w:rPr>
          <w:color w:val="000000"/>
          <w:u w:val="single"/>
          <w:lang w:eastAsia="uk-UA"/>
        </w:rPr>
        <w:t>.2021    № __</w:t>
      </w:r>
      <w:r>
        <w:rPr>
          <w:color w:val="000000"/>
          <w:u w:val="single"/>
          <w:lang w:val="uk-UA" w:eastAsia="uk-UA"/>
        </w:rPr>
        <w:t>86</w:t>
      </w:r>
      <w:r>
        <w:rPr>
          <w:color w:val="000000"/>
          <w:u w:val="single"/>
          <w:lang w:eastAsia="uk-UA"/>
        </w:rPr>
        <w:t>__</w:t>
      </w:r>
      <w:r>
        <w:rPr>
          <w:color w:val="000000"/>
          <w:u w:val="single"/>
          <w:lang w:val="uk-UA" w:eastAsia="uk-UA"/>
        </w:rPr>
        <w:t>______</w:t>
      </w:r>
    </w:p>
    <w:p w:rsidR="00932367" w:rsidRDefault="00932367" w:rsidP="00932367">
      <w:pPr>
        <w:ind w:left="7088" w:right="-426"/>
        <w:rPr>
          <w:b/>
          <w:szCs w:val="28"/>
          <w:lang w:val="uk-UA"/>
        </w:rPr>
      </w:pP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 xml:space="preserve"> ІНФОРМАЦІЙНА КАРТКА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</w:p>
    <w:p w:rsidR="00FB2CA6" w:rsidRPr="00FB2CA6" w:rsidRDefault="00FB2CA6" w:rsidP="00FB2CA6">
      <w:pPr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FB2CA6">
        <w:rPr>
          <w:b/>
          <w:i/>
          <w:sz w:val="28"/>
          <w:szCs w:val="28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2CA6">
        <w:rPr>
          <w:b/>
          <w:i/>
          <w:sz w:val="28"/>
          <w:szCs w:val="28"/>
          <w:u w:val="single"/>
          <w:lang w:val="uk-UA" w:eastAsia="uk-UA"/>
        </w:rPr>
        <w:t>Литовезької</w:t>
      </w:r>
      <w:proofErr w:type="spellEnd"/>
      <w:r w:rsidRPr="00FB2CA6">
        <w:rPr>
          <w:b/>
          <w:i/>
          <w:sz w:val="28"/>
          <w:szCs w:val="28"/>
          <w:u w:val="single"/>
          <w:lang w:val="uk-UA" w:eastAsia="uk-UA"/>
        </w:rPr>
        <w:t xml:space="preserve"> сільської ради</w:t>
      </w:r>
    </w:p>
    <w:p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4C631A" w:rsidRPr="00E97927" w:rsidTr="00E97927">
        <w:tc>
          <w:tcPr>
            <w:tcW w:w="456" w:type="dxa"/>
          </w:tcPr>
          <w:p w:rsidR="004C631A" w:rsidRPr="00214EB5" w:rsidRDefault="004C631A" w:rsidP="007F640A">
            <w:pPr>
              <w:jc w:val="center"/>
              <w:rPr>
                <w:lang w:eastAsia="uk-UA"/>
              </w:rPr>
            </w:pPr>
            <w:bookmarkStart w:id="0" w:name="_GoBack" w:colFirst="0" w:colLast="2"/>
            <w:r w:rsidRPr="00214EB5">
              <w:rPr>
                <w:lang w:eastAsia="uk-UA"/>
              </w:rPr>
              <w:t>1</w:t>
            </w:r>
          </w:p>
        </w:tc>
        <w:tc>
          <w:tcPr>
            <w:tcW w:w="3013" w:type="dxa"/>
          </w:tcPr>
          <w:p w:rsidR="004C631A" w:rsidRPr="00214EB5" w:rsidRDefault="004C631A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Місцезнаходження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237" w:type="dxa"/>
          </w:tcPr>
          <w:p w:rsidR="004C631A" w:rsidRPr="00D9002C" w:rsidRDefault="004C631A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color w:val="000000"/>
              </w:rPr>
              <w:t xml:space="preserve">45325, </w:t>
            </w:r>
            <w:proofErr w:type="spellStart"/>
            <w:r w:rsidRPr="00D9002C">
              <w:rPr>
                <w:color w:val="000000"/>
              </w:rPr>
              <w:t>Воли</w:t>
            </w:r>
            <w:r>
              <w:rPr>
                <w:color w:val="000000"/>
              </w:rPr>
              <w:t>нська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Володимир</w:t>
            </w:r>
            <w:r w:rsidRPr="00D9002C">
              <w:rPr>
                <w:color w:val="000000"/>
              </w:rPr>
              <w:t>ський</w:t>
            </w:r>
            <w:proofErr w:type="spellEnd"/>
            <w:r w:rsidRPr="00D9002C">
              <w:rPr>
                <w:color w:val="000000"/>
              </w:rPr>
              <w:t xml:space="preserve"> район, с. </w:t>
            </w:r>
            <w:proofErr w:type="spellStart"/>
            <w:r w:rsidRPr="00D9002C">
              <w:rPr>
                <w:color w:val="000000"/>
              </w:rPr>
              <w:t>Литовеж</w:t>
            </w:r>
            <w:proofErr w:type="spellEnd"/>
            <w:r w:rsidRPr="00D9002C">
              <w:rPr>
                <w:color w:val="000000"/>
              </w:rPr>
              <w:t xml:space="preserve">, </w:t>
            </w:r>
            <w:proofErr w:type="spellStart"/>
            <w:r w:rsidRPr="00D9002C">
              <w:rPr>
                <w:color w:val="000000"/>
              </w:rPr>
              <w:t>вул</w:t>
            </w:r>
            <w:proofErr w:type="spellEnd"/>
            <w:r w:rsidRPr="00D9002C">
              <w:rPr>
                <w:color w:val="000000"/>
              </w:rPr>
              <w:t xml:space="preserve">. </w:t>
            </w:r>
            <w:proofErr w:type="spellStart"/>
            <w:r w:rsidRPr="00D9002C">
              <w:rPr>
                <w:color w:val="000000"/>
              </w:rPr>
              <w:t>Володимира</w:t>
            </w:r>
            <w:proofErr w:type="spellEnd"/>
            <w:r w:rsidRPr="00D9002C">
              <w:rPr>
                <w:color w:val="000000"/>
              </w:rPr>
              <w:t xml:space="preserve"> </w:t>
            </w:r>
            <w:proofErr w:type="spellStart"/>
            <w:r w:rsidRPr="00D9002C">
              <w:rPr>
                <w:color w:val="000000"/>
              </w:rPr>
              <w:t>Якобчука</w:t>
            </w:r>
            <w:proofErr w:type="spellEnd"/>
            <w:r w:rsidRPr="00D9002C">
              <w:rPr>
                <w:color w:val="000000"/>
              </w:rPr>
              <w:t>, 11</w:t>
            </w:r>
          </w:p>
        </w:tc>
      </w:tr>
      <w:tr w:rsidR="004C631A" w:rsidRPr="00E97927" w:rsidTr="00E97927">
        <w:tc>
          <w:tcPr>
            <w:tcW w:w="456" w:type="dxa"/>
          </w:tcPr>
          <w:p w:rsidR="004C631A" w:rsidRPr="00214EB5" w:rsidRDefault="004C631A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2</w:t>
            </w:r>
          </w:p>
        </w:tc>
        <w:tc>
          <w:tcPr>
            <w:tcW w:w="3013" w:type="dxa"/>
          </w:tcPr>
          <w:p w:rsidR="004C631A" w:rsidRPr="00214EB5" w:rsidRDefault="004C631A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Інформація</w:t>
            </w:r>
            <w:proofErr w:type="spellEnd"/>
            <w:r w:rsidRPr="00214EB5">
              <w:rPr>
                <w:lang w:eastAsia="uk-UA"/>
              </w:rPr>
              <w:t xml:space="preserve"> </w:t>
            </w:r>
            <w:proofErr w:type="spellStart"/>
            <w:r w:rsidRPr="00214EB5">
              <w:rPr>
                <w:lang w:eastAsia="uk-UA"/>
              </w:rPr>
              <w:t>щодо</w:t>
            </w:r>
            <w:proofErr w:type="spellEnd"/>
            <w:r w:rsidRPr="00214EB5">
              <w:rPr>
                <w:lang w:eastAsia="uk-UA"/>
              </w:rPr>
              <w:t xml:space="preserve"> режиму </w:t>
            </w:r>
            <w:proofErr w:type="spellStart"/>
            <w:r w:rsidRPr="00214EB5">
              <w:rPr>
                <w:lang w:eastAsia="uk-UA"/>
              </w:rPr>
              <w:t>роботи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237" w:type="dxa"/>
          </w:tcPr>
          <w:p w:rsidR="004C631A" w:rsidRPr="00D9002C" w:rsidRDefault="004C631A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Понеділок, вівторок, середа: 09.00 -16.30</w:t>
            </w:r>
          </w:p>
          <w:p w:rsidR="004C631A" w:rsidRPr="00D9002C" w:rsidRDefault="004C631A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Четвер: 09.00 – 20.00</w:t>
            </w:r>
          </w:p>
          <w:p w:rsidR="004C631A" w:rsidRPr="00D9002C" w:rsidRDefault="004C631A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noProof/>
              </w:rPr>
              <w:t>П’ятниця: 09.00- 15.30</w:t>
            </w:r>
          </w:p>
        </w:tc>
      </w:tr>
      <w:tr w:rsidR="004C631A" w:rsidRPr="00FB2CA6" w:rsidTr="00E97927">
        <w:tc>
          <w:tcPr>
            <w:tcW w:w="456" w:type="dxa"/>
          </w:tcPr>
          <w:p w:rsidR="004C631A" w:rsidRPr="00214EB5" w:rsidRDefault="004C631A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3</w:t>
            </w:r>
          </w:p>
        </w:tc>
        <w:tc>
          <w:tcPr>
            <w:tcW w:w="3013" w:type="dxa"/>
          </w:tcPr>
          <w:p w:rsidR="004C631A" w:rsidRPr="00214EB5" w:rsidRDefault="004C631A" w:rsidP="007F640A">
            <w:pPr>
              <w:rPr>
                <w:lang w:eastAsia="uk-UA"/>
              </w:rPr>
            </w:pPr>
            <w:r w:rsidRPr="00214EB5">
              <w:rPr>
                <w:lang w:eastAsia="uk-UA"/>
              </w:rPr>
              <w:t xml:space="preserve">Телефон / факс, </w:t>
            </w:r>
            <w:proofErr w:type="spellStart"/>
            <w:r w:rsidRPr="00214EB5">
              <w:rPr>
                <w:lang w:eastAsia="uk-UA"/>
              </w:rPr>
              <w:t>електронна</w:t>
            </w:r>
            <w:proofErr w:type="spellEnd"/>
            <w:r w:rsidRPr="00214EB5">
              <w:rPr>
                <w:lang w:eastAsia="uk-UA"/>
              </w:rPr>
              <w:t xml:space="preserve">  адреса, </w:t>
            </w:r>
            <w:proofErr w:type="spellStart"/>
            <w:r w:rsidRPr="00214EB5">
              <w:rPr>
                <w:lang w:eastAsia="uk-UA"/>
              </w:rPr>
              <w:t>офіційний</w:t>
            </w:r>
            <w:proofErr w:type="spellEnd"/>
            <w:r w:rsidRPr="00214EB5">
              <w:rPr>
                <w:lang w:eastAsia="uk-UA"/>
              </w:rPr>
              <w:t xml:space="preserve"> веб-сайт </w:t>
            </w:r>
          </w:p>
        </w:tc>
        <w:tc>
          <w:tcPr>
            <w:tcW w:w="6237" w:type="dxa"/>
          </w:tcPr>
          <w:p w:rsidR="004C631A" w:rsidRPr="00D9002C" w:rsidRDefault="004C631A" w:rsidP="007F640A">
            <w:pPr>
              <w:pStyle w:val="a5"/>
              <w:jc w:val="center"/>
              <w:rPr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lytov-rada@ukr.net</w:t>
            </w:r>
          </w:p>
          <w:p w:rsidR="004C631A" w:rsidRPr="00D9002C" w:rsidRDefault="004C631A" w:rsidP="007F640A">
            <w:pPr>
              <w:jc w:val="center"/>
              <w:rPr>
                <w:i/>
                <w:lang w:eastAsia="uk-UA"/>
              </w:rPr>
            </w:pPr>
            <w:r>
              <w:t xml:space="preserve">            </w:t>
            </w:r>
            <w:r w:rsidRPr="00D9002C">
              <w:t>https://lotg.gov.ua</w:t>
            </w:r>
          </w:p>
        </w:tc>
      </w:tr>
      <w:bookmarkEnd w:id="0"/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4C631A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4C631A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4C631A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надання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 w:rsidR="00025A12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Перелік підстав для </w:t>
            </w:r>
            <w:r w:rsidRPr="00E97927">
              <w:rPr>
                <w:lang w:val="uk-UA"/>
              </w:rPr>
              <w:lastRenderedPageBreak/>
              <w:t>відмови</w:t>
            </w:r>
          </w:p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</w:t>
            </w:r>
            <w:r w:rsidR="00240832" w:rsidRPr="00E97927">
              <w:rPr>
                <w:lang w:val="uk-UA"/>
              </w:rPr>
              <w:lastRenderedPageBreak/>
              <w:t>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sectPr w:rsidR="00240832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832"/>
    <w:rsid w:val="00025A12"/>
    <w:rsid w:val="001237CA"/>
    <w:rsid w:val="00154C0A"/>
    <w:rsid w:val="00210D79"/>
    <w:rsid w:val="00240832"/>
    <w:rsid w:val="0025477F"/>
    <w:rsid w:val="00260498"/>
    <w:rsid w:val="00343F8B"/>
    <w:rsid w:val="003722CA"/>
    <w:rsid w:val="00413291"/>
    <w:rsid w:val="0048612F"/>
    <w:rsid w:val="004C631A"/>
    <w:rsid w:val="005D32D7"/>
    <w:rsid w:val="005F10E4"/>
    <w:rsid w:val="00640DFB"/>
    <w:rsid w:val="006E11F1"/>
    <w:rsid w:val="00794A4C"/>
    <w:rsid w:val="007F553C"/>
    <w:rsid w:val="008B01A5"/>
    <w:rsid w:val="00932367"/>
    <w:rsid w:val="0097473C"/>
    <w:rsid w:val="00AA4E1F"/>
    <w:rsid w:val="00B47EA9"/>
    <w:rsid w:val="00E1112A"/>
    <w:rsid w:val="00E142DF"/>
    <w:rsid w:val="00E97927"/>
    <w:rsid w:val="00F414D7"/>
    <w:rsid w:val="00F61C8C"/>
    <w:rsid w:val="00FB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Admin</cp:lastModifiedBy>
  <cp:revision>8</cp:revision>
  <cp:lastPrinted>2021-03-15T11:53:00Z</cp:lastPrinted>
  <dcterms:created xsi:type="dcterms:W3CDTF">2021-03-19T11:33:00Z</dcterms:created>
  <dcterms:modified xsi:type="dcterms:W3CDTF">2023-02-22T13:08:00Z</dcterms:modified>
</cp:coreProperties>
</file>