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38" w:rsidRDefault="002A3670">
      <w:pPr>
        <w:spacing w:before="69"/>
        <w:ind w:left="6663"/>
        <w:rPr>
          <w:sz w:val="24"/>
        </w:rPr>
      </w:pPr>
      <w:r>
        <w:rPr>
          <w:sz w:val="24"/>
        </w:rPr>
        <w:t>ЗАТВЕРДЖЕНО</w:t>
      </w:r>
    </w:p>
    <w:p w:rsidR="00CA7338" w:rsidRDefault="002A3670">
      <w:pPr>
        <w:ind w:left="6663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CA7338" w:rsidRDefault="0011494C">
      <w:pPr>
        <w:tabs>
          <w:tab w:val="left" w:pos="8757"/>
          <w:tab w:val="left" w:pos="9531"/>
        </w:tabs>
        <w:ind w:left="6663"/>
        <w:rPr>
          <w:sz w:val="24"/>
        </w:rPr>
      </w:pPr>
      <w:r>
        <w:rPr>
          <w:sz w:val="24"/>
          <w:u w:val="single"/>
        </w:rPr>
        <w:t>25.11.2022 р.</w:t>
      </w:r>
      <w:r w:rsidR="002A3670">
        <w:rPr>
          <w:sz w:val="24"/>
        </w:rPr>
        <w:t>№</w:t>
      </w:r>
      <w:r>
        <w:rPr>
          <w:sz w:val="24"/>
        </w:rPr>
        <w:t xml:space="preserve"> 5277</w:t>
      </w:r>
      <w:r w:rsidR="002A3670">
        <w:rPr>
          <w:sz w:val="24"/>
          <w:u w:val="single"/>
        </w:rPr>
        <w:tab/>
      </w:r>
      <w:r w:rsidR="002A3670">
        <w:rPr>
          <w:sz w:val="24"/>
        </w:rPr>
        <w:t>/5</w:t>
      </w:r>
    </w:p>
    <w:p w:rsidR="00CA7338" w:rsidRDefault="00CA7338">
      <w:pPr>
        <w:rPr>
          <w:sz w:val="26"/>
        </w:rPr>
      </w:pPr>
    </w:p>
    <w:p w:rsidR="00CA7338" w:rsidRDefault="00CA7338"/>
    <w:p w:rsidR="00CA7338" w:rsidRDefault="002A3670">
      <w:pPr>
        <w:pStyle w:val="a3"/>
        <w:ind w:left="945" w:right="503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CA7338" w:rsidRDefault="002A3670">
      <w:pPr>
        <w:pStyle w:val="a3"/>
        <w:ind w:left="948" w:right="503"/>
        <w:jc w:val="center"/>
      </w:pPr>
      <w:r>
        <w:t>адміністративної послуги з державної реєстрації припинення юридичної особи в результаті її</w:t>
      </w:r>
      <w:r>
        <w:rPr>
          <w:spacing w:val="-57"/>
        </w:rPr>
        <w:t xml:space="preserve"> </w:t>
      </w:r>
      <w:r>
        <w:t>реорганізації</w:t>
      </w:r>
      <w:r>
        <w:rPr>
          <w:spacing w:val="-2"/>
        </w:rPr>
        <w:t xml:space="preserve"> </w:t>
      </w:r>
      <w:r>
        <w:t>(крім громадського</w:t>
      </w:r>
      <w:r>
        <w:rPr>
          <w:spacing w:val="-1"/>
        </w:rPr>
        <w:t xml:space="preserve"> </w:t>
      </w:r>
      <w:r>
        <w:t>формування релігійної</w:t>
      </w:r>
      <w:r>
        <w:rPr>
          <w:spacing w:val="-2"/>
        </w:rPr>
        <w:t xml:space="preserve"> </w:t>
      </w:r>
      <w:r>
        <w:t>організації)</w:t>
      </w:r>
    </w:p>
    <w:p w:rsidR="00CA7338" w:rsidRDefault="00CA7338">
      <w:pPr>
        <w:spacing w:before="8"/>
        <w:rPr>
          <w:b/>
          <w:sz w:val="19"/>
        </w:rPr>
      </w:pPr>
    </w:p>
    <w:p w:rsidR="0011494C" w:rsidRPr="00060A3F" w:rsidRDefault="0011494C" w:rsidP="0011494C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11494C" w:rsidRPr="00060A3F" w:rsidRDefault="0011494C" w:rsidP="0011494C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CA7338" w:rsidRDefault="00CA7338">
      <w:pPr>
        <w:spacing w:before="11"/>
        <w:rPr>
          <w:sz w:val="19"/>
        </w:r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212"/>
        <w:gridCol w:w="7168"/>
      </w:tblGrid>
      <w:tr w:rsidR="00CA7338">
        <w:trPr>
          <w:trHeight w:val="661"/>
        </w:trPr>
        <w:tc>
          <w:tcPr>
            <w:tcW w:w="10912" w:type="dxa"/>
            <w:gridSpan w:val="3"/>
          </w:tcPr>
          <w:p w:rsidR="00CA7338" w:rsidRDefault="002A3670">
            <w:pPr>
              <w:pStyle w:val="TableParagraph"/>
              <w:spacing w:before="55"/>
              <w:ind w:left="2840" w:right="2164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11494C" w:rsidTr="0011494C">
        <w:trPr>
          <w:trHeight w:val="612"/>
        </w:trPr>
        <w:tc>
          <w:tcPr>
            <w:tcW w:w="532" w:type="dxa"/>
          </w:tcPr>
          <w:p w:rsidR="0011494C" w:rsidRDefault="0011494C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212" w:type="dxa"/>
          </w:tcPr>
          <w:p w:rsidR="0011494C" w:rsidRDefault="0011494C" w:rsidP="003267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168" w:type="dxa"/>
          </w:tcPr>
          <w:p w:rsidR="0011494C" w:rsidRPr="003B62D5" w:rsidRDefault="0011494C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11494C">
        <w:trPr>
          <w:trHeight w:val="666"/>
        </w:trPr>
        <w:tc>
          <w:tcPr>
            <w:tcW w:w="532" w:type="dxa"/>
          </w:tcPr>
          <w:p w:rsidR="0011494C" w:rsidRDefault="0011494C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212" w:type="dxa"/>
          </w:tcPr>
          <w:p w:rsidR="0011494C" w:rsidRDefault="0011494C" w:rsidP="003267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8" w:type="dxa"/>
          </w:tcPr>
          <w:p w:rsidR="00841824" w:rsidRPr="00841824" w:rsidRDefault="00841824" w:rsidP="00841824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841824">
              <w:rPr>
                <w:sz w:val="24"/>
              </w:rPr>
              <w:t>Понеділок-п'ятниця: 8.00 – 16.30 год.,</w:t>
            </w:r>
          </w:p>
          <w:p w:rsidR="00841824" w:rsidRPr="00841824" w:rsidRDefault="00841824" w:rsidP="00841824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841824">
              <w:rPr>
                <w:sz w:val="24"/>
              </w:rPr>
              <w:t xml:space="preserve">обідня перерва з 13.00 до 13.30 </w:t>
            </w:r>
            <w:proofErr w:type="spellStart"/>
            <w:r w:rsidRPr="00841824">
              <w:rPr>
                <w:sz w:val="24"/>
              </w:rPr>
              <w:t>год</w:t>
            </w:r>
            <w:proofErr w:type="spellEnd"/>
            <w:r w:rsidRPr="00841824">
              <w:rPr>
                <w:sz w:val="24"/>
              </w:rPr>
              <w:t xml:space="preserve"> </w:t>
            </w:r>
          </w:p>
          <w:p w:rsidR="0011494C" w:rsidRDefault="00841824" w:rsidP="00841824">
            <w:pPr>
              <w:pStyle w:val="TableParagraph"/>
              <w:ind w:right="32" w:firstLine="151"/>
              <w:jc w:val="center"/>
              <w:rPr>
                <w:i/>
                <w:sz w:val="24"/>
              </w:rPr>
            </w:pPr>
            <w:r w:rsidRPr="00841824">
              <w:rPr>
                <w:sz w:val="24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11494C">
        <w:trPr>
          <w:trHeight w:val="942"/>
        </w:trPr>
        <w:tc>
          <w:tcPr>
            <w:tcW w:w="532" w:type="dxa"/>
          </w:tcPr>
          <w:p w:rsidR="0011494C" w:rsidRDefault="0011494C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212" w:type="dxa"/>
          </w:tcPr>
          <w:p w:rsidR="0011494C" w:rsidRDefault="0011494C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7168" w:type="dxa"/>
          </w:tcPr>
          <w:p w:rsidR="0011494C" w:rsidRPr="003B62D5" w:rsidRDefault="00841824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11494C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11494C" w:rsidRDefault="0011494C" w:rsidP="003267A3">
            <w:pPr>
              <w:pStyle w:val="TableParagraph"/>
              <w:ind w:firstLine="151"/>
              <w:jc w:val="center"/>
              <w:rPr>
                <w:i/>
                <w:sz w:val="24"/>
              </w:rPr>
            </w:pPr>
            <w:r w:rsidRPr="003B62D5">
              <w:rPr>
                <w:b/>
                <w:lang w:eastAsia="ru-RU"/>
              </w:rPr>
              <w:t>https://lotg.gov.ua</w:t>
            </w:r>
          </w:p>
        </w:tc>
      </w:tr>
      <w:tr w:rsidR="00CA7338">
        <w:trPr>
          <w:trHeight w:val="390"/>
        </w:trPr>
        <w:tc>
          <w:tcPr>
            <w:tcW w:w="10912" w:type="dxa"/>
            <w:gridSpan w:val="3"/>
          </w:tcPr>
          <w:p w:rsidR="00CA7338" w:rsidRDefault="002A3670">
            <w:pPr>
              <w:pStyle w:val="TableParagraph"/>
              <w:ind w:left="124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A7338">
        <w:trPr>
          <w:trHeight w:val="666"/>
        </w:trPr>
        <w:tc>
          <w:tcPr>
            <w:tcW w:w="532" w:type="dxa"/>
          </w:tcPr>
          <w:p w:rsidR="00CA7338" w:rsidRDefault="002A3670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ind w:right="34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CA7338">
        <w:trPr>
          <w:trHeight w:val="942"/>
        </w:trPr>
        <w:tc>
          <w:tcPr>
            <w:tcW w:w="532" w:type="dxa"/>
          </w:tcPr>
          <w:p w:rsidR="00CA7338" w:rsidRDefault="002A3670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574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1137</w:t>
            </w:r>
          </w:p>
          <w:p w:rsidR="00CA7338" w:rsidRDefault="002A3670">
            <w:pPr>
              <w:pStyle w:val="TableParagraph"/>
              <w:spacing w:before="0"/>
              <w:ind w:right="34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CA7338">
        <w:trPr>
          <w:trHeight w:val="4530"/>
        </w:trPr>
        <w:tc>
          <w:tcPr>
            <w:tcW w:w="532" w:type="dxa"/>
          </w:tcPr>
          <w:p w:rsidR="00CA7338" w:rsidRDefault="002A3670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412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ind w:left="286" w:right="0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CA7338" w:rsidRDefault="002A367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формувань, що не мають статусу юридичної 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A7338" w:rsidRDefault="002A3670">
            <w:pPr>
              <w:pStyle w:val="TableParagraph"/>
              <w:spacing w:before="0"/>
              <w:ind w:right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CA7338">
        <w:trPr>
          <w:trHeight w:val="390"/>
        </w:trPr>
        <w:tc>
          <w:tcPr>
            <w:tcW w:w="10912" w:type="dxa"/>
            <w:gridSpan w:val="3"/>
          </w:tcPr>
          <w:p w:rsidR="00CA7338" w:rsidRDefault="002A3670">
            <w:pPr>
              <w:pStyle w:val="TableParagraph"/>
              <w:ind w:left="3023" w:right="30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A7338">
        <w:trPr>
          <w:trHeight w:val="666"/>
        </w:trPr>
        <w:tc>
          <w:tcPr>
            <w:tcW w:w="532" w:type="dxa"/>
          </w:tcPr>
          <w:p w:rsidR="00CA7338" w:rsidRDefault="002A3670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499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tabs>
                <w:tab w:val="left" w:pos="1607"/>
              </w:tabs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z w:val="24"/>
              </w:rPr>
              <w:tab/>
              <w:t>голови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припинення,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ліквідатора,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(далі – заявник)</w:t>
            </w:r>
          </w:p>
        </w:tc>
      </w:tr>
      <w:tr w:rsidR="00CA7338">
        <w:trPr>
          <w:trHeight w:val="666"/>
        </w:trPr>
        <w:tc>
          <w:tcPr>
            <w:tcW w:w="532" w:type="dxa"/>
          </w:tcPr>
          <w:p w:rsidR="00CA7338" w:rsidRDefault="002A3670">
            <w:pPr>
              <w:pStyle w:val="TableParagraph"/>
              <w:ind w:left="20" w:righ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279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ind w:right="34" w:firstLine="217"/>
              <w:jc w:val="left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 реорганізації;</w:t>
            </w:r>
          </w:p>
        </w:tc>
      </w:tr>
    </w:tbl>
    <w:p w:rsidR="00CA7338" w:rsidRDefault="002A3670">
      <w:pPr>
        <w:ind w:left="157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12788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z w:val="14"/>
        </w:rPr>
        <w:t>АСКОД</w:t>
      </w:r>
    </w:p>
    <w:p w:rsidR="00CA7338" w:rsidRDefault="002A3670">
      <w:pPr>
        <w:ind w:left="1570"/>
        <w:rPr>
          <w:b/>
          <w:sz w:val="16"/>
        </w:rPr>
      </w:pPr>
      <w:r>
        <w:rPr>
          <w:b/>
          <w:sz w:val="16"/>
        </w:rPr>
        <w:t>Міністерство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CA7338" w:rsidRDefault="002A3670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3806-19.1.2-22</w:t>
      </w:r>
      <w:r>
        <w:rPr>
          <w:spacing w:val="-1"/>
          <w:sz w:val="16"/>
        </w:rPr>
        <w:t xml:space="preserve"> </w:t>
      </w:r>
      <w:r>
        <w:rPr>
          <w:sz w:val="16"/>
        </w:rPr>
        <w:t>від</w:t>
      </w:r>
      <w:r>
        <w:rPr>
          <w:spacing w:val="-1"/>
          <w:sz w:val="16"/>
        </w:rPr>
        <w:t xml:space="preserve"> </w:t>
      </w:r>
      <w:r>
        <w:rPr>
          <w:sz w:val="16"/>
        </w:rPr>
        <w:t>21.11.2022</w:t>
      </w:r>
    </w:p>
    <w:p w:rsidR="00CA7338" w:rsidRDefault="002A3670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CA7338" w:rsidRDefault="002A3670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CA7338" w:rsidRDefault="002A3670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CA7338" w:rsidRDefault="002A3670">
      <w:pPr>
        <w:spacing w:line="199" w:lineRule="exact"/>
        <w:rPr>
          <w:sz w:val="18"/>
        </w:rPr>
      </w:pPr>
      <w:r>
        <w:rPr>
          <w:color w:val="F2F2F2"/>
          <w:sz w:val="18"/>
        </w:rPr>
        <w:t>.</w:t>
      </w:r>
    </w:p>
    <w:p w:rsidR="00CA7338" w:rsidRDefault="00CA7338">
      <w:pPr>
        <w:spacing w:line="199" w:lineRule="exact"/>
        <w:rPr>
          <w:sz w:val="18"/>
        </w:rPr>
        <w:sectPr w:rsidR="00CA7338">
          <w:type w:val="continuous"/>
          <w:pgSz w:w="11910" w:h="16840"/>
          <w:pgMar w:top="480" w:right="30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212"/>
        <w:gridCol w:w="7168"/>
      </w:tblGrid>
      <w:tr w:rsidR="00CA7338">
        <w:trPr>
          <w:trHeight w:val="14460"/>
        </w:trPr>
        <w:tc>
          <w:tcPr>
            <w:tcW w:w="532" w:type="dxa"/>
          </w:tcPr>
          <w:p w:rsidR="00CA7338" w:rsidRDefault="00CA7338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spacing w:before="55"/>
              <w:ind w:right="209"/>
              <w:jc w:val="left"/>
              <w:rPr>
                <w:sz w:val="24"/>
              </w:rPr>
            </w:pP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spacing w:before="55"/>
              <w:ind w:right="36" w:firstLine="21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законодавства;</w:t>
            </w:r>
          </w:p>
          <w:p w:rsidR="00CA7338" w:rsidRDefault="002A3670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витяг, виписка чи інший документ з торговельного, банківського,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 – нерезидента в країні її місцезнаходження, – у разі, 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нерезидент;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копія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кінцевим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бенефіціарним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 особи – нерезидента та, якщо такий документ оформлений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для фізичної особи – резидента;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розподільчого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поділу;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перетворення,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злиття 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приєднання;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довідка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 закону підлягають довгостроковому зберіганню, –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 припинення юридичної особи в результаті поділу, злиття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приєднання;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документи для державної реєстрації створення юридичної 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 реєстрацію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громадських формувань», – у разі припинення юридичної особи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перетворення;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формувань», – у разі припинення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 приєднання.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 як юридичних осіб після добровільного об’єднання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територіальних громад здійснюється з урахуванням особливостей,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Законом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України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добровільне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громад».</w:t>
            </w:r>
          </w:p>
          <w:p w:rsidR="00CA7338" w:rsidRDefault="002A3670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місцеві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державні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адміністрації»,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Україні».</w:t>
            </w:r>
          </w:p>
          <w:p w:rsidR="00CA7338" w:rsidRDefault="002A3670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 його повноваження (крім випадку, коли відомості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</w:p>
        </w:tc>
      </w:tr>
    </w:tbl>
    <w:p w:rsidR="00CA7338" w:rsidRDefault="00CA7338">
      <w:pPr>
        <w:rPr>
          <w:sz w:val="24"/>
        </w:rPr>
        <w:sectPr w:rsidR="00CA7338">
          <w:headerReference w:type="default" r:id="rId11"/>
          <w:pgSz w:w="11910" w:h="16840"/>
          <w:pgMar w:top="700" w:right="300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212"/>
        <w:gridCol w:w="7168"/>
      </w:tblGrid>
      <w:tr w:rsidR="00CA7338">
        <w:trPr>
          <w:trHeight w:val="1765"/>
        </w:trPr>
        <w:tc>
          <w:tcPr>
            <w:tcW w:w="532" w:type="dxa"/>
          </w:tcPr>
          <w:p w:rsidR="00CA7338" w:rsidRDefault="00CA7338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212" w:type="dxa"/>
          </w:tcPr>
          <w:p w:rsidR="00CA7338" w:rsidRDefault="00CA7338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spacing w:before="55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формувань).</w:t>
            </w:r>
          </w:p>
          <w:p w:rsidR="00CA7338" w:rsidRDefault="002A3670">
            <w:pPr>
              <w:pStyle w:val="TableParagraph"/>
              <w:tabs>
                <w:tab w:val="left" w:pos="891"/>
                <w:tab w:val="left" w:pos="1660"/>
                <w:tab w:val="left" w:pos="3062"/>
                <w:tab w:val="left" w:pos="4748"/>
                <w:tab w:val="left" w:pos="5284"/>
                <w:tab w:val="left" w:pos="6805"/>
              </w:tabs>
              <w:spacing w:before="0"/>
              <w:ind w:right="36" w:firstLine="217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цілей</w:t>
            </w:r>
            <w:r>
              <w:rPr>
                <w:sz w:val="24"/>
              </w:rPr>
              <w:tab/>
              <w:t>проведення</w:t>
            </w:r>
            <w:r>
              <w:rPr>
                <w:sz w:val="24"/>
              </w:rPr>
              <w:tab/>
              <w:t>реєстраційних</w:t>
            </w:r>
            <w:r>
              <w:rPr>
                <w:sz w:val="24"/>
              </w:rPr>
              <w:tab/>
              <w:t>дій</w:t>
            </w:r>
            <w:r>
              <w:rPr>
                <w:sz w:val="24"/>
              </w:rPr>
              <w:tab/>
              <w:t>документом,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CA7338" w:rsidRDefault="002A3670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right="0" w:hanging="261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CA7338" w:rsidRDefault="002A3670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</w:tabs>
              <w:spacing w:before="0"/>
              <w:ind w:left="62" w:right="34" w:firstLine="217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CA7338">
        <w:trPr>
          <w:trHeight w:val="1770"/>
        </w:trPr>
        <w:tc>
          <w:tcPr>
            <w:tcW w:w="532" w:type="dxa"/>
          </w:tcPr>
          <w:p w:rsidR="00CA7338" w:rsidRDefault="002A3670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231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ind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CA7338" w:rsidRDefault="002A3670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0"/>
              <w:ind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сервісів*</w:t>
            </w:r>
          </w:p>
        </w:tc>
      </w:tr>
      <w:tr w:rsidR="00CA7338">
        <w:trPr>
          <w:trHeight w:val="942"/>
        </w:trPr>
        <w:tc>
          <w:tcPr>
            <w:tcW w:w="532" w:type="dxa"/>
          </w:tcPr>
          <w:p w:rsidR="00CA7338" w:rsidRDefault="002A3670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ind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CA7338">
        <w:trPr>
          <w:trHeight w:val="942"/>
        </w:trPr>
        <w:tc>
          <w:tcPr>
            <w:tcW w:w="532" w:type="dxa"/>
          </w:tcPr>
          <w:p w:rsidR="00CA7338" w:rsidRDefault="002A3670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499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ind w:right="36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CA7338">
        <w:trPr>
          <w:trHeight w:val="8946"/>
        </w:trPr>
        <w:tc>
          <w:tcPr>
            <w:tcW w:w="532" w:type="dxa"/>
          </w:tcPr>
          <w:p w:rsidR="00CA7338" w:rsidRDefault="002A3670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24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ind w:left="279" w:right="0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 осіб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заборони 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CA7338" w:rsidRDefault="002A3670">
            <w:pPr>
              <w:pStyle w:val="TableParagraph"/>
              <w:spacing w:before="0"/>
              <w:ind w:left="279" w:right="36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подання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документів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або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відомостей,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передбачених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</w:p>
          <w:p w:rsidR="00CA7338" w:rsidRDefault="002A3670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  <w:p w:rsidR="00CA7338" w:rsidRDefault="002A3670">
            <w:pPr>
              <w:pStyle w:val="TableParagraph"/>
              <w:spacing w:before="0"/>
              <w:ind w:left="279" w:right="0" w:hanging="217"/>
              <w:jc w:val="left"/>
              <w:rPr>
                <w:sz w:val="24"/>
              </w:rPr>
            </w:pPr>
            <w:r>
              <w:rPr>
                <w:sz w:val="24"/>
              </w:rPr>
              <w:t>– підприємців та громадських формувань» не в повному обсязі;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невідповідність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</w:p>
          <w:p w:rsidR="00CA7338" w:rsidRDefault="002A3670">
            <w:pPr>
              <w:pStyle w:val="TableParagraph"/>
              <w:spacing w:before="0"/>
              <w:ind w:right="34"/>
              <w:rPr>
                <w:sz w:val="24"/>
              </w:rPr>
            </w:pP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CA7338" w:rsidRDefault="002A3670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CA7338" w:rsidRDefault="002A3670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подані: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раніше строку, встановленого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 осіб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 формувань відсутній запис про державну 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утвореної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реорганізації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</w:p>
        </w:tc>
      </w:tr>
    </w:tbl>
    <w:p w:rsidR="00CA7338" w:rsidRDefault="00CA7338">
      <w:pPr>
        <w:rPr>
          <w:sz w:val="24"/>
        </w:rPr>
        <w:sectPr w:rsidR="00CA7338">
          <w:pgSz w:w="11910" w:h="16840"/>
          <w:pgMar w:top="700" w:right="300" w:bottom="280" w:left="0" w:header="436" w:footer="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212"/>
        <w:gridCol w:w="7168"/>
      </w:tblGrid>
      <w:tr w:rsidR="00CA7338">
        <w:trPr>
          <w:trHeight w:val="4525"/>
        </w:trPr>
        <w:tc>
          <w:tcPr>
            <w:tcW w:w="532" w:type="dxa"/>
          </w:tcPr>
          <w:p w:rsidR="00CA7338" w:rsidRDefault="00CA733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3212" w:type="dxa"/>
          </w:tcPr>
          <w:p w:rsidR="00CA7338" w:rsidRDefault="00CA7338">
            <w:pPr>
              <w:pStyle w:val="TableParagraph"/>
              <w:spacing w:before="0"/>
              <w:ind w:left="0" w:right="0"/>
              <w:jc w:val="left"/>
            </w:pP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spacing w:before="55"/>
              <w:ind w:right="0"/>
              <w:rPr>
                <w:sz w:val="24"/>
              </w:rPr>
            </w:pPr>
            <w:r>
              <w:rPr>
                <w:sz w:val="24"/>
              </w:rPr>
              <w:t>злиття,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приєднання,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перетворення;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акціонерного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надійшли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нескасованої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випуску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акцій;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щодо юридичної особи – емітента цінних паперів, стосовно 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надійшли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нескасованих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паперів;</w:t>
            </w:r>
          </w:p>
          <w:p w:rsidR="00CA7338" w:rsidRDefault="002A3670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реорганізується,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надійшли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заборгованості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податків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заборгованості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внеску на загальнообов’язкове державне соціальне страхування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узгоджений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реорганізації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надійшли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наявність заборгованості із сплати страхових коштів до Пенсійного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фондів соціального страхування;</w:t>
            </w:r>
          </w:p>
          <w:p w:rsidR="00CA7338" w:rsidRDefault="002A3670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відкрито провадження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банкрутство</w:t>
            </w:r>
          </w:p>
        </w:tc>
      </w:tr>
      <w:tr w:rsidR="00CA7338">
        <w:trPr>
          <w:trHeight w:val="1494"/>
        </w:trPr>
        <w:tc>
          <w:tcPr>
            <w:tcW w:w="532" w:type="dxa"/>
          </w:tcPr>
          <w:p w:rsidR="00CA7338" w:rsidRDefault="002A3670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499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 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CA7338">
        <w:trPr>
          <w:trHeight w:val="2046"/>
        </w:trPr>
        <w:tc>
          <w:tcPr>
            <w:tcW w:w="532" w:type="dxa"/>
          </w:tcPr>
          <w:p w:rsidR="00CA7338" w:rsidRDefault="002A3670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12" w:type="dxa"/>
          </w:tcPr>
          <w:p w:rsidR="00CA7338" w:rsidRDefault="002A3670">
            <w:pPr>
              <w:pStyle w:val="TableParagraph"/>
              <w:ind w:right="86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168" w:type="dxa"/>
          </w:tcPr>
          <w:p w:rsidR="00CA7338" w:rsidRDefault="002A3670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кодом доступу.</w:t>
            </w:r>
          </w:p>
          <w:p w:rsidR="00CA7338" w:rsidRDefault="002A3670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 відправленням) заявнику не пізніше наступного робочого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надходження 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заявника 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CA7338" w:rsidRDefault="002A3670">
      <w:pPr>
        <w:ind w:left="709"/>
        <w:rPr>
          <w:sz w:val="14"/>
        </w:rPr>
      </w:pPr>
      <w:r>
        <w:rPr>
          <w:sz w:val="14"/>
        </w:rPr>
        <w:t>*</w:t>
      </w:r>
      <w:r>
        <w:rPr>
          <w:spacing w:val="32"/>
          <w:sz w:val="14"/>
        </w:rPr>
        <w:t xml:space="preserve"> </w:t>
      </w:r>
      <w:r>
        <w:rPr>
          <w:sz w:val="14"/>
        </w:rPr>
        <w:t>Після</w:t>
      </w:r>
      <w:r>
        <w:rPr>
          <w:spacing w:val="32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32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32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32"/>
          <w:sz w:val="14"/>
        </w:rPr>
        <w:t xml:space="preserve"> </w:t>
      </w:r>
      <w:proofErr w:type="spellStart"/>
      <w:r>
        <w:rPr>
          <w:sz w:val="14"/>
        </w:rPr>
        <w:t>вебпорталу</w:t>
      </w:r>
      <w:proofErr w:type="spellEnd"/>
      <w:r>
        <w:rPr>
          <w:spacing w:val="32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32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33"/>
          <w:sz w:val="14"/>
        </w:rPr>
        <w:t xml:space="preserve"> </w:t>
      </w:r>
      <w:r>
        <w:rPr>
          <w:sz w:val="14"/>
        </w:rPr>
        <w:t>та/або</w:t>
      </w:r>
      <w:r>
        <w:rPr>
          <w:spacing w:val="32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32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32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32"/>
          <w:sz w:val="14"/>
        </w:rPr>
        <w:t xml:space="preserve"> </w:t>
      </w:r>
      <w:r>
        <w:rPr>
          <w:sz w:val="14"/>
        </w:rPr>
        <w:t>які</w:t>
      </w:r>
      <w:r>
        <w:rPr>
          <w:spacing w:val="32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32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33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32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32"/>
          <w:sz w:val="14"/>
        </w:rPr>
        <w:t xml:space="preserve"> </w:t>
      </w:r>
      <w:r>
        <w:rPr>
          <w:sz w:val="14"/>
        </w:rPr>
        <w:t>таких</w:t>
      </w:r>
      <w:r>
        <w:rPr>
          <w:spacing w:val="1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</w:t>
      </w:r>
    </w:p>
    <w:p w:rsidR="00CA7338" w:rsidRDefault="00CA7338">
      <w:pPr>
        <w:spacing w:before="11"/>
        <w:rPr>
          <w:sz w:val="23"/>
        </w:rPr>
      </w:pPr>
    </w:p>
    <w:p w:rsidR="00CA7338" w:rsidRDefault="002A3670">
      <w:pPr>
        <w:pStyle w:val="a3"/>
        <w:ind w:left="567"/>
      </w:pPr>
      <w:r>
        <w:t>Директор Департаменту</w:t>
      </w:r>
    </w:p>
    <w:p w:rsidR="00CA7338" w:rsidRDefault="002A3670">
      <w:pPr>
        <w:pStyle w:val="a3"/>
        <w:tabs>
          <w:tab w:val="left" w:pos="8890"/>
        </w:tabs>
        <w:ind w:left="567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CA7338">
      <w:pgSz w:w="11910" w:h="16840"/>
      <w:pgMar w:top="700" w:right="30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D1" w:rsidRDefault="008C56D1">
      <w:r>
        <w:separator/>
      </w:r>
    </w:p>
  </w:endnote>
  <w:endnote w:type="continuationSeparator" w:id="0">
    <w:p w:rsidR="008C56D1" w:rsidRDefault="008C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D1" w:rsidRDefault="008C56D1">
      <w:r>
        <w:separator/>
      </w:r>
    </w:p>
  </w:footnote>
  <w:footnote w:type="continuationSeparator" w:id="0">
    <w:p w:rsidR="008C56D1" w:rsidRDefault="008C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38" w:rsidRDefault="0084182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25pt;margin-top:20.8pt;width:12pt;height:15.3pt;z-index:-251658752;mso-position-horizontal-relative:page;mso-position-vertical-relative:page" filled="f" stroked="f">
          <v:textbox inset="0,0,0,0">
            <w:txbxContent>
              <w:p w:rsidR="00CA7338" w:rsidRDefault="002A367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41824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0B4B"/>
    <w:multiLevelType w:val="hybridMultilevel"/>
    <w:tmpl w:val="FB86FE00"/>
    <w:lvl w:ilvl="0" w:tplc="D35E5F0E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11E16C4">
      <w:numFmt w:val="bullet"/>
      <w:lvlText w:val="•"/>
      <w:lvlJc w:val="left"/>
      <w:pPr>
        <w:ind w:left="1200" w:hanging="260"/>
      </w:pPr>
      <w:rPr>
        <w:rFonts w:hint="default"/>
        <w:lang w:val="uk-UA" w:eastAsia="en-US" w:bidi="ar-SA"/>
      </w:rPr>
    </w:lvl>
    <w:lvl w:ilvl="2" w:tplc="C5D2A744">
      <w:numFmt w:val="bullet"/>
      <w:lvlText w:val="•"/>
      <w:lvlJc w:val="left"/>
      <w:pPr>
        <w:ind w:left="1861" w:hanging="260"/>
      </w:pPr>
      <w:rPr>
        <w:rFonts w:hint="default"/>
        <w:lang w:val="uk-UA" w:eastAsia="en-US" w:bidi="ar-SA"/>
      </w:rPr>
    </w:lvl>
    <w:lvl w:ilvl="3" w:tplc="54304E2C">
      <w:numFmt w:val="bullet"/>
      <w:lvlText w:val="•"/>
      <w:lvlJc w:val="left"/>
      <w:pPr>
        <w:ind w:left="2522" w:hanging="260"/>
      </w:pPr>
      <w:rPr>
        <w:rFonts w:hint="default"/>
        <w:lang w:val="uk-UA" w:eastAsia="en-US" w:bidi="ar-SA"/>
      </w:rPr>
    </w:lvl>
    <w:lvl w:ilvl="4" w:tplc="82F8C36E">
      <w:numFmt w:val="bullet"/>
      <w:lvlText w:val="•"/>
      <w:lvlJc w:val="left"/>
      <w:pPr>
        <w:ind w:left="3183" w:hanging="260"/>
      </w:pPr>
      <w:rPr>
        <w:rFonts w:hint="default"/>
        <w:lang w:val="uk-UA" w:eastAsia="en-US" w:bidi="ar-SA"/>
      </w:rPr>
    </w:lvl>
    <w:lvl w:ilvl="5" w:tplc="CA0CA57C">
      <w:numFmt w:val="bullet"/>
      <w:lvlText w:val="•"/>
      <w:lvlJc w:val="left"/>
      <w:pPr>
        <w:ind w:left="3844" w:hanging="260"/>
      </w:pPr>
      <w:rPr>
        <w:rFonts w:hint="default"/>
        <w:lang w:val="uk-UA" w:eastAsia="en-US" w:bidi="ar-SA"/>
      </w:rPr>
    </w:lvl>
    <w:lvl w:ilvl="6" w:tplc="2B141A0E">
      <w:numFmt w:val="bullet"/>
      <w:lvlText w:val="•"/>
      <w:lvlJc w:val="left"/>
      <w:pPr>
        <w:ind w:left="4504" w:hanging="260"/>
      </w:pPr>
      <w:rPr>
        <w:rFonts w:hint="default"/>
        <w:lang w:val="uk-UA" w:eastAsia="en-US" w:bidi="ar-SA"/>
      </w:rPr>
    </w:lvl>
    <w:lvl w:ilvl="7" w:tplc="E8828740">
      <w:numFmt w:val="bullet"/>
      <w:lvlText w:val="•"/>
      <w:lvlJc w:val="left"/>
      <w:pPr>
        <w:ind w:left="5165" w:hanging="260"/>
      </w:pPr>
      <w:rPr>
        <w:rFonts w:hint="default"/>
        <w:lang w:val="uk-UA" w:eastAsia="en-US" w:bidi="ar-SA"/>
      </w:rPr>
    </w:lvl>
    <w:lvl w:ilvl="8" w:tplc="2D90714E">
      <w:numFmt w:val="bullet"/>
      <w:lvlText w:val="•"/>
      <w:lvlJc w:val="left"/>
      <w:pPr>
        <w:ind w:left="5826" w:hanging="260"/>
      </w:pPr>
      <w:rPr>
        <w:rFonts w:hint="default"/>
        <w:lang w:val="uk-UA" w:eastAsia="en-US" w:bidi="ar-SA"/>
      </w:rPr>
    </w:lvl>
  </w:abstractNum>
  <w:abstractNum w:abstractNumId="1">
    <w:nsid w:val="64671D16"/>
    <w:multiLevelType w:val="hybridMultilevel"/>
    <w:tmpl w:val="3D1A6656"/>
    <w:lvl w:ilvl="0" w:tplc="6C94C644">
      <w:start w:val="1"/>
      <w:numFmt w:val="decimal"/>
      <w:lvlText w:val="%1."/>
      <w:lvlJc w:val="left"/>
      <w:pPr>
        <w:ind w:left="62" w:hanging="2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63A1BB4">
      <w:numFmt w:val="bullet"/>
      <w:lvlText w:val="•"/>
      <w:lvlJc w:val="left"/>
      <w:pPr>
        <w:ind w:left="768" w:hanging="275"/>
      </w:pPr>
      <w:rPr>
        <w:rFonts w:hint="default"/>
        <w:lang w:val="uk-UA" w:eastAsia="en-US" w:bidi="ar-SA"/>
      </w:rPr>
    </w:lvl>
    <w:lvl w:ilvl="2" w:tplc="13AE67F8">
      <w:numFmt w:val="bullet"/>
      <w:lvlText w:val="•"/>
      <w:lvlJc w:val="left"/>
      <w:pPr>
        <w:ind w:left="1477" w:hanging="275"/>
      </w:pPr>
      <w:rPr>
        <w:rFonts w:hint="default"/>
        <w:lang w:val="uk-UA" w:eastAsia="en-US" w:bidi="ar-SA"/>
      </w:rPr>
    </w:lvl>
    <w:lvl w:ilvl="3" w:tplc="EE98E29E">
      <w:numFmt w:val="bullet"/>
      <w:lvlText w:val="•"/>
      <w:lvlJc w:val="left"/>
      <w:pPr>
        <w:ind w:left="2186" w:hanging="275"/>
      </w:pPr>
      <w:rPr>
        <w:rFonts w:hint="default"/>
        <w:lang w:val="uk-UA" w:eastAsia="en-US" w:bidi="ar-SA"/>
      </w:rPr>
    </w:lvl>
    <w:lvl w:ilvl="4" w:tplc="66EE41F0">
      <w:numFmt w:val="bullet"/>
      <w:lvlText w:val="•"/>
      <w:lvlJc w:val="left"/>
      <w:pPr>
        <w:ind w:left="2895" w:hanging="275"/>
      </w:pPr>
      <w:rPr>
        <w:rFonts w:hint="default"/>
        <w:lang w:val="uk-UA" w:eastAsia="en-US" w:bidi="ar-SA"/>
      </w:rPr>
    </w:lvl>
    <w:lvl w:ilvl="5" w:tplc="11B21DEC">
      <w:numFmt w:val="bullet"/>
      <w:lvlText w:val="•"/>
      <w:lvlJc w:val="left"/>
      <w:pPr>
        <w:ind w:left="3604" w:hanging="275"/>
      </w:pPr>
      <w:rPr>
        <w:rFonts w:hint="default"/>
        <w:lang w:val="uk-UA" w:eastAsia="en-US" w:bidi="ar-SA"/>
      </w:rPr>
    </w:lvl>
    <w:lvl w:ilvl="6" w:tplc="358ED5F2">
      <w:numFmt w:val="bullet"/>
      <w:lvlText w:val="•"/>
      <w:lvlJc w:val="left"/>
      <w:pPr>
        <w:ind w:left="4312" w:hanging="275"/>
      </w:pPr>
      <w:rPr>
        <w:rFonts w:hint="default"/>
        <w:lang w:val="uk-UA" w:eastAsia="en-US" w:bidi="ar-SA"/>
      </w:rPr>
    </w:lvl>
    <w:lvl w:ilvl="7" w:tplc="479A325C">
      <w:numFmt w:val="bullet"/>
      <w:lvlText w:val="•"/>
      <w:lvlJc w:val="left"/>
      <w:pPr>
        <w:ind w:left="5021" w:hanging="275"/>
      </w:pPr>
      <w:rPr>
        <w:rFonts w:hint="default"/>
        <w:lang w:val="uk-UA" w:eastAsia="en-US" w:bidi="ar-SA"/>
      </w:rPr>
    </w:lvl>
    <w:lvl w:ilvl="8" w:tplc="4D8A3304">
      <w:numFmt w:val="bullet"/>
      <w:lvlText w:val="•"/>
      <w:lvlJc w:val="left"/>
      <w:pPr>
        <w:ind w:left="5730" w:hanging="27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7338"/>
    <w:rsid w:val="0011494C"/>
    <w:rsid w:val="002A3670"/>
    <w:rsid w:val="00841824"/>
    <w:rsid w:val="008C56D1"/>
    <w:rsid w:val="00CA7338"/>
    <w:rsid w:val="00C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 w:right="3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 w:right="3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157-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2023-02-15T13:56:00Z</dcterms:created>
  <dcterms:modified xsi:type="dcterms:W3CDTF">2025-04-09T09:03:00Z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