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AE" w:rsidRPr="00BA54AE" w:rsidRDefault="00BA54AE" w:rsidP="00BA54AE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ЗАТВЕРДЖЕНО</w:t>
      </w:r>
    </w:p>
    <w:p w:rsidR="00BA54AE" w:rsidRPr="002E0C3F" w:rsidRDefault="00E46072" w:rsidP="00BA54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 Литовезької сільської </w:t>
      </w:r>
      <w:r w:rsidR="00BA54AE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ради</w:t>
      </w:r>
    </w:p>
    <w:p w:rsidR="00BA54AE" w:rsidRPr="002E0C3F" w:rsidRDefault="002E0C3F" w:rsidP="00BA54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r w:rsidR="00E46072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27 січня </w:t>
      </w:r>
      <w:r w:rsidR="00BA54AE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</w:t>
      </w:r>
      <w:r w:rsidR="00E46072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BA54AE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</w:t>
      </w:r>
      <w:r w:rsidR="00AE705A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оку</w:t>
      </w:r>
      <w:r w:rsidR="00BA54AE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</w:t>
      </w:r>
      <w:r w:rsidR="00E46072" w:rsidRPr="002E0C3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62/</w:t>
      </w:r>
      <w:r w:rsidR="00531E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</w:p>
    <w:p w:rsidR="00BA54AE" w:rsidRPr="00BA54AE" w:rsidRDefault="00BA54AE" w:rsidP="00BA5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A54AE" w:rsidRDefault="00BA54AE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135657" w:rsidRPr="00742DFB" w:rsidRDefault="00135657" w:rsidP="001356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ПРОГРАМА </w:t>
      </w:r>
    </w:p>
    <w:p w:rsidR="00A4083E" w:rsidRDefault="00742DFB" w:rsidP="00135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>розвитку рибного господарства на</w:t>
      </w:r>
      <w:r w:rsidR="00E4607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 території Литовезької </w:t>
      </w: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>територіальної громади</w:t>
      </w:r>
      <w:r w:rsidR="00135657"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 </w:t>
      </w:r>
    </w:p>
    <w:p w:rsidR="00135657" w:rsidRPr="00742DFB" w:rsidRDefault="00135657" w:rsidP="00135657">
      <w:pP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на </w:t>
      </w:r>
      <w:r w:rsidR="00E46072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2026</w:t>
      </w:r>
      <w:r w:rsidR="00742DFB"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-2027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 xml:space="preserve"> р</w:t>
      </w:r>
      <w:r w:rsidR="00742DFB"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о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к</w:t>
      </w:r>
      <w:r w:rsidR="00742DFB"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и</w:t>
      </w: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BA54AE" w:rsidP="00135657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BA54AE" w:rsidRPr="00BA54AE" w:rsidRDefault="00E46072" w:rsidP="00BA5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с.Литовеж</w:t>
      </w:r>
    </w:p>
    <w:p w:rsidR="00BA54AE" w:rsidRDefault="00BA54AE" w:rsidP="00BA5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202</w:t>
      </w:r>
      <w:r w:rsidR="00E46072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6</w:t>
      </w:r>
      <w:r w:rsidR="00225A53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рік</w:t>
      </w:r>
    </w:p>
    <w:p w:rsidR="00BA7DE6" w:rsidRPr="00BA7DE6" w:rsidRDefault="00BA7DE6" w:rsidP="00BA7DE6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  <w:r w:rsidRPr="00BA7DE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  <w:lastRenderedPageBreak/>
        <w:t>ПАСПОРТ</w:t>
      </w:r>
    </w:p>
    <w:p w:rsidR="000C117A" w:rsidRPr="000C117A" w:rsidRDefault="00876124" w:rsidP="000C117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п</w:t>
      </w:r>
      <w:r w:rsid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рограми </w:t>
      </w:r>
      <w:r w:rsidR="00742DF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розвитку рибного господарства на території</w:t>
      </w:r>
      <w:r w:rsidR="000C117A"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:rsidR="00BA7DE6" w:rsidRDefault="00E46072" w:rsidP="000C117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Литовезької </w:t>
      </w:r>
      <w:r w:rsidR="000C117A"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742DF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на 2026</w:t>
      </w:r>
      <w:r w:rsidR="00742DF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-2027</w:t>
      </w:r>
      <w:r w:rsidR="000C117A"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 w:rsidR="00742DF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о</w:t>
      </w:r>
      <w:r w:rsidR="000C117A"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к</w:t>
      </w:r>
      <w:r w:rsidR="00742DF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и</w:t>
      </w:r>
    </w:p>
    <w:p w:rsidR="005855FA" w:rsidRPr="00BA7DE6" w:rsidRDefault="005855FA" w:rsidP="000C117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394"/>
      </w:tblGrid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та номер рішення, яким затверджена Програма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E46072" w:rsidP="000021F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 січня 2026 року № 62/</w:t>
            </w:r>
            <w:r w:rsidR="00531E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E46072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Литовезька сільська</w:t>
            </w:r>
            <w:r w:rsidR="00BA7DE6"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рада</w:t>
            </w:r>
          </w:p>
        </w:tc>
      </w:tr>
      <w:tr w:rsidR="00BA7DE6" w:rsidRPr="006B6B3A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розробник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E46072" w:rsidP="00E4607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Литовезька сільська рада</w:t>
            </w:r>
          </w:p>
        </w:tc>
      </w:tr>
      <w:tr w:rsidR="00BA7DE6" w:rsidRPr="00531E1F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Співрозробники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77092E" w:rsidRDefault="0077092E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09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земельних відносин, комунальної власності, містобудування, архітектури, соціально-економічного розвитку та інвестицій</w:t>
            </w:r>
          </w:p>
        </w:tc>
      </w:tr>
      <w:tr w:rsidR="00BA7DE6" w:rsidRPr="006B6B3A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E46072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Литовезька сільська рада</w:t>
            </w:r>
          </w:p>
        </w:tc>
      </w:tr>
      <w:tr w:rsidR="00BA7DE6" w:rsidRPr="00E46072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4394" w:type="dxa"/>
            <w:shd w:val="clear" w:color="auto" w:fill="auto"/>
          </w:tcPr>
          <w:p w:rsidR="00E46072" w:rsidRPr="0077092E" w:rsidRDefault="0077092E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09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земельних відносин, комунальної власності, містобудування, архітектури, соціально-економічного розвитку та інвестицій</w:t>
            </w:r>
          </w:p>
          <w:p w:rsidR="00BA7DE6" w:rsidRPr="00BA7DE6" w:rsidRDefault="0077092E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09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8599F" w:rsidRPr="007709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зацікавлені підприємства, установи та організації</w:t>
            </w: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BA7DE6" w:rsidP="00A408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7709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026</w:t>
            </w:r>
            <w:r w:rsidR="0074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-2027</w:t>
            </w:r>
            <w:r w:rsidR="000C11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74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оки</w:t>
            </w: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7.1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Етапи виконання Програми 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2E0C3F" w:rsidP="002365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BA7DE6" w:rsidRPr="00531E1F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33109D" w:rsidP="0033109D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1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сприятливих умов для рибогосподарської діяльності, забезпечення населення громади продукцією з риби та інших водних живих ресурсів, залучення в економіку громади інвестиційних ресурсів, поповнення доходів бюджету та збільшення зайнятості населення</w:t>
            </w: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реалізації Програми, всього тис. грн.: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77092E" w:rsidP="006D7A6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тому числі: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A7DE6" w:rsidRPr="00BA7DE6" w:rsidTr="009C5D06">
        <w:tc>
          <w:tcPr>
            <w:tcW w:w="1101" w:type="dxa"/>
            <w:vMerge w:val="restart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shd w:val="clear" w:color="auto" w:fill="auto"/>
          </w:tcPr>
          <w:p w:rsidR="00BA7DE6" w:rsidRPr="00BA7DE6" w:rsidRDefault="0077092E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кошти бюджету </w:t>
            </w:r>
            <w:r w:rsidR="00BA7DE6"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територіальної громади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77092E" w:rsidP="006D7A6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</w:tr>
      <w:tr w:rsidR="00BA7DE6" w:rsidRPr="00BA7DE6" w:rsidTr="009C5D06">
        <w:tc>
          <w:tcPr>
            <w:tcW w:w="1101" w:type="dxa"/>
            <w:vMerge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районного бюджету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тис. грн. 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AA50B3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7DE6" w:rsidRPr="00BA7DE6" w:rsidTr="009C5D06">
        <w:tc>
          <w:tcPr>
            <w:tcW w:w="1101" w:type="dxa"/>
            <w:vMerge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обласного бюджету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тис. грн. 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AA50B3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7DE6" w:rsidRPr="00BA7DE6" w:rsidTr="009C5D06">
        <w:tc>
          <w:tcPr>
            <w:tcW w:w="1101" w:type="dxa"/>
            <w:vMerge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державного бюджету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AA50B3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7DE6" w:rsidRPr="00BA7DE6" w:rsidTr="009C5D06">
        <w:tc>
          <w:tcPr>
            <w:tcW w:w="1101" w:type="dxa"/>
            <w:vMerge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інших джерел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</w:t>
            </w:r>
            <w:r w:rsidR="00F913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B1E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A7DE6" w:rsidRPr="00BA7DE6" w:rsidTr="009C5D06">
        <w:tc>
          <w:tcPr>
            <w:tcW w:w="1101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BA7DE6" w:rsidRPr="00BA7DE6" w:rsidRDefault="00BA7DE6" w:rsidP="00BA7DE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Основні джерела фінансування Програми</w:t>
            </w:r>
          </w:p>
        </w:tc>
        <w:tc>
          <w:tcPr>
            <w:tcW w:w="4394" w:type="dxa"/>
            <w:shd w:val="clear" w:color="auto" w:fill="auto"/>
          </w:tcPr>
          <w:p w:rsidR="00BA7DE6" w:rsidRPr="00BA7DE6" w:rsidRDefault="00AA50B3" w:rsidP="00BA7DE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="007709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ошти бюджету </w:t>
            </w:r>
            <w:r w:rsidRPr="00AA50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територіальної громади</w:t>
            </w:r>
          </w:p>
        </w:tc>
      </w:tr>
    </w:tbl>
    <w:p w:rsidR="009C5D06" w:rsidRDefault="009C5D06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2C67C8" w:rsidRDefault="002C67C8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33109D" w:rsidRDefault="0033109D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8F70B1" w:rsidRDefault="008F70B1" w:rsidP="00BA7DE6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2E0C3F" w:rsidRDefault="002E0C3F" w:rsidP="002E0C3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:rsidR="00135657" w:rsidRPr="002E0C3F" w:rsidRDefault="00135657" w:rsidP="008F70B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:rsidR="00135657" w:rsidRPr="002E0C3F" w:rsidRDefault="00135657" w:rsidP="002E0C3F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301D" w:rsidRPr="002E0C3F" w:rsidRDefault="008C301D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Програму розвитку рибного гос</w:t>
      </w:r>
      <w:r w:rsidR="0077092E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подарства в Литовезькій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на </w:t>
      </w:r>
      <w:r w:rsidR="0077092E" w:rsidRPr="002E0C3F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-2027 роки (далі – Програма) розроблено відповідно до:</w:t>
      </w:r>
    </w:p>
    <w:p w:rsidR="008C301D" w:rsidRPr="002E0C3F" w:rsidRDefault="008F70B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C301D" w:rsidRPr="002E0C3F">
        <w:rPr>
          <w:rFonts w:ascii="Times New Roman" w:hAnsi="Times New Roman" w:cs="Times New Roman"/>
          <w:sz w:val="28"/>
          <w:szCs w:val="28"/>
          <w:lang w:val="uk-UA"/>
        </w:rPr>
        <w:t>аконів України «Про рибне господарство, промислове рибальство та охорону водних ресурсів», «Про охорону навколишнього природного середовища», «Про тваринний світ», «Про аквакультуру»;</w:t>
      </w:r>
    </w:p>
    <w:p w:rsidR="008C301D" w:rsidRPr="002E0C3F" w:rsidRDefault="008C301D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стратегії розвитку галузі рибного господарства України на період до 2030 року та операційного Плану заходів з її реалізації у 2023-2025 роках, затверджених розпорядженням Кабінету Міністрів України від 02 травня 2023 року № 402-р;</w:t>
      </w:r>
    </w:p>
    <w:p w:rsidR="008C301D" w:rsidRPr="008F70B1" w:rsidRDefault="008C301D" w:rsidP="008F70B1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70B1">
        <w:rPr>
          <w:rFonts w:ascii="Times New Roman" w:eastAsia="Times New Roman" w:hAnsi="Times New Roman" w:cs="Times New Roman"/>
          <w:sz w:val="28"/>
          <w:szCs w:val="28"/>
          <w:lang w:val="uk-UA"/>
        </w:rPr>
        <w:t>Рибне господарство  в громаді відіграє   значну   роль   у забезпеченні  населення  продовольством,</w:t>
      </w:r>
      <w:r w:rsidR="00EA3D76" w:rsidRPr="008F70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F70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у відтворенні природних ресурсів та </w:t>
      </w:r>
      <w:r w:rsidRPr="008F70B1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підвищенні зайнятості населення. </w:t>
      </w:r>
    </w:p>
    <w:p w:rsidR="008C301D" w:rsidRPr="002E0C3F" w:rsidRDefault="008C301D" w:rsidP="008F70B1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o15"/>
      <w:bookmarkStart w:id="1" w:name="o16"/>
      <w:bookmarkEnd w:id="0"/>
      <w:bookmarkEnd w:id="1"/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спрямована на  розвиток  рибного господарства в </w:t>
      </w:r>
      <w:r w:rsidR="0077092E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Литовезькій </w:t>
      </w:r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територіальній громаді, охорону, використання та відтворення водних біоресурсів, а також консолідацію зусиль </w:t>
      </w:r>
      <w:r w:rsidR="008F70B1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</w:t>
      </w:r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ради, територіальних органів природоохоронних служб, правоохоронних органів, підприємств, установ,  організацій, громадських організацій та суб’єктів господарювання з метою розв'язання найважливіших проблем і створення належних   економічних   умов   функціонування  рибогосподарського комплексу громади. </w:t>
      </w:r>
    </w:p>
    <w:p w:rsidR="008C301D" w:rsidRPr="002E0C3F" w:rsidRDefault="008C301D" w:rsidP="002E0C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7DE6" w:rsidRPr="002E0C3F" w:rsidRDefault="00BA7DE6" w:rsidP="002E0C3F">
      <w:pPr>
        <w:spacing w:after="0" w:line="240" w:lineRule="auto"/>
        <w:jc w:val="center"/>
        <w:rPr>
          <w:rFonts w:ascii="Times New Roman" w:eastAsia="Arial" w:hAnsi="Times New Roman" w:cs="Arial"/>
          <w:b/>
          <w:sz w:val="28"/>
          <w:szCs w:val="28"/>
          <w:lang w:val="uk-UA" w:eastAsia="uk-UA"/>
        </w:rPr>
      </w:pPr>
      <w:r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 xml:space="preserve">2. </w:t>
      </w:r>
      <w:r w:rsidR="00442D9B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>Визначання п</w:t>
      </w:r>
      <w:r w:rsidR="00E0311D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>роблем</w:t>
      </w:r>
      <w:r w:rsidR="00F32787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>и</w:t>
      </w:r>
      <w:r w:rsidR="00E0311D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>, на розв’язання як</w:t>
      </w:r>
      <w:r w:rsidR="00442D9B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>ої</w:t>
      </w:r>
      <w:r w:rsidR="00E0311D" w:rsidRPr="002E0C3F">
        <w:rPr>
          <w:rFonts w:ascii="Times New Roman" w:eastAsia="Arial" w:hAnsi="Times New Roman" w:cs="Arial"/>
          <w:b/>
          <w:sz w:val="28"/>
          <w:szCs w:val="28"/>
          <w:lang w:val="uk-UA" w:eastAsia="uk-UA"/>
        </w:rPr>
        <w:t xml:space="preserve"> спрямована Програма</w:t>
      </w:r>
    </w:p>
    <w:p w:rsidR="00E0311D" w:rsidRPr="002E0C3F" w:rsidRDefault="00E0311D" w:rsidP="002E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7092E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Литовезькій </w:t>
      </w:r>
      <w:r w:rsidR="00EA3D76" w:rsidRPr="002E0C3F">
        <w:rPr>
          <w:rFonts w:ascii="Times New Roman" w:hAnsi="Times New Roman" w:cs="Times New Roman"/>
          <w:sz w:val="28"/>
          <w:szCs w:val="28"/>
          <w:lang w:val="uk-UA"/>
        </w:rPr>
        <w:t>територіальній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громаді </w:t>
      </w:r>
      <w:r w:rsidR="008F70B1" w:rsidRPr="008F70B1">
        <w:rPr>
          <w:rFonts w:ascii="Times New Roman" w:hAnsi="Times New Roman" w:cs="Times New Roman"/>
          <w:sz w:val="28"/>
          <w:szCs w:val="28"/>
          <w:lang w:val="uk-UA"/>
        </w:rPr>
        <w:t>52.2866</w:t>
      </w:r>
      <w:r w:rsidR="008F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гектарів водойм, повністю або частково придатних для якісного життя гідробіонтів, у тому числі риб. </w:t>
      </w:r>
      <w:r w:rsidR="00D53E14" w:rsidRPr="002E0C3F">
        <w:rPr>
          <w:rFonts w:ascii="Times New Roman" w:hAnsi="Times New Roman" w:cs="Times New Roman"/>
          <w:sz w:val="28"/>
          <w:szCs w:val="28"/>
          <w:lang w:val="uk-UA"/>
        </w:rPr>
        <w:t>Але, є також і водні об’єкти, які повністю висохли.</w:t>
      </w:r>
    </w:p>
    <w:p w:rsidR="00D53E14" w:rsidRPr="002E0C3F" w:rsidRDefault="0077092E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Станом на 01 січня 2026</w:t>
      </w:r>
      <w:r w:rsidR="00E82771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року у громаді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3B8" w:rsidRPr="002E0C3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82771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водних об’єктів, з них </w:t>
      </w:r>
      <w:r w:rsidR="008F70B1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передано </w:t>
      </w:r>
      <w:r w:rsidR="00E82771" w:rsidRPr="002E0C3F">
        <w:rPr>
          <w:rFonts w:ascii="Times New Roman" w:hAnsi="Times New Roman" w:cs="Times New Roman"/>
          <w:sz w:val="28"/>
          <w:szCs w:val="28"/>
          <w:lang w:val="uk-UA"/>
        </w:rPr>
        <w:t>в оренд</w:t>
      </w:r>
      <w:r w:rsidR="008F70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163B8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0B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Для забезпечення продовольчої безпеки громади, розвиток промислового рибальства у внутрішніх водних об’єктах (ставовій аквакультурі) має базуватися на відтворенні цінних видів водних біоресурсів у водоймах, залученні інвестицій та екологізації галузі рибного господарства.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Основними перспективними об’єктами аквакультури є розведення і вирощування таких риб як звичайний короп, білий амур, білий та строкатий товстолобики, райдужна та струмкова форелі, канальний сом, стерлядь, осетер і веслоніс.</w:t>
      </w:r>
    </w:p>
    <w:p w:rsidR="00E82771" w:rsidRPr="002E0C3F" w:rsidRDefault="004916B4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2771" w:rsidRPr="002E0C3F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82771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користувачів, що здійснюють промисловий вилов водних біоресурсів на водосховищі, вплинуло на зниження об’ємів вилову риби та надходження податків до місцевих бюджетів. Зниження уловів відбулося в основному за такими цінними видами риби як судак, сом та короп.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Загалом кризова ситуація рибного господарства громади викликана такими проблемами: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відсутність державної підтримки галузі рибного господарства;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слабка матеріально-технічна база значної кількості користувачів водних біоресурсів;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наявність незаконного, непідзвітного та нерегульованого рибальства;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складний механізм адміністрування податків та зборів для суб’єктів аквакультури;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недостатнє відтворення запасів водних біоресурсів, їх виснаження у попередні роки;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відсутність забезпечення  рибних господарств якісними комбікормами;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зменшення кількості та погіршення екологічного стану наявних нерестовищ, забруднення води;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відсутність ефективної інфраструктури ринку продукції рибного господарства.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Покращення актуально якісного та кількісного стану іхтіофауни регіону відбудеться завдяки проведенню рибницько-меліоративних робіт (боротьба із цвітінням та заростанням, впорядкування прибережних захисних смуг, розкорчовування тощо).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Любительське та спортивне рибальство є важливим фактором соціального та економічного розвитку громади. Таке рибальство сприятиме зростанню продуктивності праці, підвищенню загальноосвітнього та культурного рівня населення, фізичному розвитку, збільшенню середньої тривалості життя і працездатного віку.</w:t>
      </w:r>
    </w:p>
    <w:p w:rsidR="00E82771" w:rsidRPr="002E0C3F" w:rsidRDefault="00E82771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належного фінансування зазначені проблеми практично не розв’язувалися.</w:t>
      </w:r>
    </w:p>
    <w:p w:rsidR="00135657" w:rsidRPr="002E0C3F" w:rsidRDefault="00F32787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135657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35657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Програми</w:t>
      </w:r>
    </w:p>
    <w:p w:rsidR="00135657" w:rsidRPr="002E0C3F" w:rsidRDefault="00135657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D1520" w:rsidRPr="002E0C3F" w:rsidRDefault="00135657" w:rsidP="008F70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Програма розроблена з метою </w:t>
      </w:r>
      <w:r w:rsidR="00CD1520" w:rsidRPr="002E0C3F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рибогосподарської діяльності, забезпечення населення громади продукцією з риби та інших водних живих ресурсів, залучення в економіку громади інвестиційних ресурсів, поповнення доходів бюджету та збільшення зайнятості населення.</w:t>
      </w:r>
    </w:p>
    <w:p w:rsidR="0067751C" w:rsidRPr="002E0C3F" w:rsidRDefault="0067751C" w:rsidP="002E0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311D" w:rsidRPr="002E0C3F" w:rsidRDefault="00870330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="00E0311D" w:rsidRPr="002E0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Обґрунтування шляхів і засобів розв’язання проблеми</w:t>
      </w:r>
      <w:r w:rsidR="0025268F" w:rsidRPr="002E0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обсягів та джерел фінан</w:t>
      </w:r>
      <w:r w:rsidR="00E659BC" w:rsidRPr="002E0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сування,</w:t>
      </w:r>
      <w:r w:rsidR="0025268F" w:rsidRPr="002E0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строки та етапи виконання Програми</w:t>
      </w:r>
    </w:p>
    <w:p w:rsidR="00F32787" w:rsidRPr="002E0C3F" w:rsidRDefault="00F32787" w:rsidP="002E0C3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Існує ряд можливостей, які варто задіяти для поліпшення становища рибної галузі. Враховуючи можливості впливу заходів Програми на вирішення існуючих проблем, першочергову увагу доцільно зосередити на: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відтворенні (зарибленні) цінними видами водних біоресурсів водойм громади, створенні умов для збереження та збільшення чисельності водних біоресурсів у природному середовищі;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зменшенні витрат на виробництво рибної продукції за рахунок застосування ресурсозберігаючих технологій і обладнання, скорочення витрат при ловлі, транспортуванні, переробці та реалізації продукції;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вирощуванні риби згідно з розробленими науковими обґрунтуваннями та режимами рибогосподарської експлуатації водойм;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охороні рибних та інших водних живих ресурсів.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Обсяг коштів 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Литовезької </w:t>
      </w:r>
      <w:r w:rsidR="00357EE7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Програм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и щороку визначається рішенням сільської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ради під ча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с затвердження бюджету Литовезької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відповідний рік або внесення змін до нього.</w:t>
      </w:r>
    </w:p>
    <w:p w:rsidR="00A35D18" w:rsidRPr="002E0C3F" w:rsidRDefault="00A35D18" w:rsidP="008F70B1">
      <w:pPr>
        <w:pStyle w:val="a7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Головни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м розпорядником коштів є сільська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 рада.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використання коштів 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Литовезької </w:t>
      </w:r>
      <w:r w:rsidR="00357EE7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на виконання заходів цієї Програми затвердж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ується розпорядженням сільського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Програми здійснюватиметься за рахунок коштів:</w:t>
      </w:r>
    </w:p>
    <w:p w:rsidR="00A35D18" w:rsidRPr="002E0C3F" w:rsidRDefault="006B0779" w:rsidP="008F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A35D18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>юджету</w:t>
      </w:r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Литовезької 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A35D18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виходячи з його реальних можливостей у кожному бюджетному році, відповідно до рішення  </w:t>
      </w:r>
      <w:r w:rsidR="00BE4C60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Литовезької сільської </w:t>
      </w:r>
      <w:r w:rsidR="00A35D18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>ради;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коштів суб’єктів господарювання;</w:t>
      </w:r>
    </w:p>
    <w:p w:rsidR="00A35D18" w:rsidRPr="002E0C3F" w:rsidRDefault="00A35D18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інших джерел фінансування, не заборонених чинним законодавством.</w:t>
      </w:r>
    </w:p>
    <w:p w:rsidR="00A35D18" w:rsidRPr="002E0C3F" w:rsidRDefault="00A35D18" w:rsidP="008F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>В ході реалізації програми можливі зміни та доповнення до неї в залежності від рівня розвитку економіки громади, наповнення місцевого бюджету, залучення благодійних внесків та гуманітарної допомоги.</w:t>
      </w:r>
    </w:p>
    <w:p w:rsidR="00A35D18" w:rsidRPr="002E0C3F" w:rsidRDefault="00A35D18" w:rsidP="002E0C3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657" w:rsidRPr="002E0C3F" w:rsidRDefault="00870330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135657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0311D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завдан</w:t>
      </w:r>
      <w:r w:rsidR="006D0D2B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ь, </w:t>
      </w:r>
      <w:r w:rsidR="00E0311D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заходів Програми </w:t>
      </w:r>
      <w:r w:rsidR="006D0D2B" w:rsidRPr="002E0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результативні показники</w:t>
      </w:r>
    </w:p>
    <w:p w:rsidR="00135657" w:rsidRPr="002E0C3F" w:rsidRDefault="00135657" w:rsidP="002E0C3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Виконання завдань та заходів Програми запла</w:t>
      </w:r>
      <w:r w:rsidR="00BE4C60" w:rsidRPr="002E0C3F">
        <w:rPr>
          <w:rFonts w:ascii="Times New Roman" w:hAnsi="Times New Roman" w:cs="Times New Roman"/>
          <w:sz w:val="28"/>
          <w:szCs w:val="28"/>
          <w:lang w:val="uk-UA"/>
        </w:rPr>
        <w:t>новано здійснювати протягом 2026 - 2027 роки</w:t>
      </w:r>
      <w:r w:rsidRPr="002E0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відновлення рибогосподарського потенціалу природних водойм громади;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збереження генетичних ресурсів;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підтримка місцевих суб’єктів рибного господарства;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поліпшення умов нересту та промислового вилову;</w:t>
      </w:r>
    </w:p>
    <w:p w:rsidR="00BC2A89" w:rsidRPr="002E0C3F" w:rsidRDefault="00BC2A89" w:rsidP="008F70B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розвиток любительського та спортивного рибальства.</w:t>
      </w:r>
    </w:p>
    <w:p w:rsidR="004D492C" w:rsidRPr="002E0C3F" w:rsidRDefault="004D492C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BC2A89" w:rsidRPr="002E0C3F" w:rsidRDefault="00BC2A89" w:rsidP="002E0C3F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657" w:rsidRPr="002E0C3F" w:rsidRDefault="006D0D2B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Напрями реалізації та заходи Програми</w:t>
      </w:r>
    </w:p>
    <w:p w:rsidR="00676528" w:rsidRPr="002E0C3F" w:rsidRDefault="00676528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21FB" w:rsidRPr="002E0C3F" w:rsidRDefault="005921FB" w:rsidP="008F70B1">
      <w:pPr>
        <w:pStyle w:val="a7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>У результаті виконання Програми очікується: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створення сприятливих умов для нарощування виробництва конкурентоспроможної  продукції з риби та інших водних живих ресурсів з  метою  гарантування  продовольчої безпеки  країни  та задоволення потреб населення у цій продукції;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підвищення біопродуктивності водойм громади за рахунок їх посиленого зариблення з метою розширення сировинної бази для промислового рибальства та збереження біологічного різноманіття;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створення додаткових робочих місць, зростання зайнятості  та підвищення   життєвого рівня населення  регіону,  яке традиційно  тяжіє  до  ведення  рибного  господарства, враховуючи географічне розташування і накопичений  багаторічний  досвід господарювання;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створення сприятливого інвестиційного та конкурентного середовища для виробників продукції з риби та інших  водних  живих ресурсів;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підвищення середнього рівня споживання  продукції з риби та інших водних живих ресурсів на душу населення до 20  кілограмів на рік;</w:t>
      </w:r>
    </w:p>
    <w:p w:rsidR="005921FB" w:rsidRPr="002E0C3F" w:rsidRDefault="005921FB" w:rsidP="008F70B1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E0C3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створення та розвиток громадських організацій рибалок любителів для розвитку любительського і спортивного рибальства, упорядкування місць відпочинку громадян та риболовлі на берегах водойм громади.</w:t>
      </w:r>
    </w:p>
    <w:p w:rsidR="00870330" w:rsidRPr="002E0C3F" w:rsidRDefault="00870330" w:rsidP="002E0C3F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_GoBack"/>
      <w:bookmarkEnd w:id="2"/>
    </w:p>
    <w:p w:rsidR="00870330" w:rsidRPr="002E0C3F" w:rsidRDefault="006D0D2B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0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870330" w:rsidRPr="002E0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Координація та контроль за ходом виконання Програми</w:t>
      </w:r>
    </w:p>
    <w:p w:rsidR="0025268F" w:rsidRPr="002E0C3F" w:rsidRDefault="0025268F" w:rsidP="002E0C3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35D44" w:rsidRPr="002E0C3F" w:rsidRDefault="00F35D44" w:rsidP="008F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E0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Програми з</w:t>
      </w:r>
      <w:r w:rsidR="00BE4C60" w:rsidRPr="002E0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дійснюється Литовезькою сільською</w:t>
      </w:r>
      <w:r w:rsidRPr="002E0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радою. </w:t>
      </w:r>
    </w:p>
    <w:p w:rsidR="00C03309" w:rsidRPr="002E0C3F" w:rsidRDefault="00C03309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E0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Основними формами контролю за реалізацією заходів та досягненням показників Програми будуть:</w:t>
      </w:r>
    </w:p>
    <w:p w:rsidR="0083722A" w:rsidRPr="002E0C3F" w:rsidRDefault="0083722A" w:rsidP="008F70B1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E0C3F">
        <w:rPr>
          <w:sz w:val="28"/>
          <w:szCs w:val="28"/>
          <w:lang w:val="uk-UA"/>
        </w:rPr>
        <w:t xml:space="preserve">Координацію діяльності та систематичний контроль за виконанням передбачених Програмою заходів, ефективним та цільовим використанням коштів її виконавцями, залучення до виконання Програми в установленому законодавством порядку підприємств, установ та організацій незалежно від форми власності та відомчого підпорядкування здійснює </w:t>
      </w:r>
      <w:r w:rsidR="00F35D44" w:rsidRPr="002E0C3F">
        <w:rPr>
          <w:sz w:val="28"/>
          <w:szCs w:val="28"/>
          <w:lang w:val="uk-UA"/>
        </w:rPr>
        <w:t xml:space="preserve">земельно-комунальний </w:t>
      </w:r>
      <w:r w:rsidRPr="002E0C3F">
        <w:rPr>
          <w:sz w:val="28"/>
          <w:szCs w:val="28"/>
          <w:lang w:val="uk-UA"/>
        </w:rPr>
        <w:t xml:space="preserve">відділ селищної ради. </w:t>
      </w:r>
    </w:p>
    <w:p w:rsidR="00A33DF2" w:rsidRPr="002E0C3F" w:rsidRDefault="0083722A" w:rsidP="008F70B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2E0C3F">
        <w:rPr>
          <w:rFonts w:ascii="Times New Roman" w:hAnsi="Times New Roman" w:cs="Times New Roman"/>
          <w:sz w:val="28"/>
          <w:szCs w:val="28"/>
          <w:lang w:val="uk-UA"/>
        </w:rPr>
        <w:t xml:space="preserve">Щорічний контроль за виконанням Програми здійснює </w:t>
      </w:r>
      <w:r w:rsidR="00A33DF2" w:rsidRPr="002E0C3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постійна комісія </w:t>
      </w:r>
      <w:r w:rsidR="002E0C3F" w:rsidRPr="002E0C3F">
        <w:rPr>
          <w:rFonts w:ascii="Times New Roman" w:eastAsia="Times New Roman" w:hAnsi="Times New Roman" w:cs="Times New Roman"/>
          <w:sz w:val="28"/>
          <w:szCs w:val="28"/>
          <w:lang w:val="uk-UA"/>
        </w:rPr>
        <w:t>на постійну депутатську  комісію з питань земельних відносин, будівництва, інфраструктури, житлово-комунального господарства, природних ресурсів та екології.</w:t>
      </w:r>
    </w:p>
    <w:p w:rsidR="00830FF6" w:rsidRDefault="00830FF6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E0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цільовим та ефективним використанням бюджетних коштів, спрямованих на забезпечення виконання заходів Програми, здійснюватиметься у порядку, встановленому</w:t>
      </w:r>
      <w:r w:rsidR="008F7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чинним законодавством України.</w:t>
      </w:r>
    </w:p>
    <w:p w:rsidR="00C476AF" w:rsidRDefault="00C476AF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76AF" w:rsidRDefault="00C476AF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76AF" w:rsidRDefault="00C476AF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76AF" w:rsidRDefault="00C476AF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76AF" w:rsidRPr="002E0C3F" w:rsidRDefault="00C476AF" w:rsidP="008F70B1">
      <w:pPr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Секретар ради                                                                 </w:t>
      </w:r>
      <w:r w:rsidRPr="00C476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Мирослава ЖУКОВА</w:t>
      </w:r>
    </w:p>
    <w:sectPr w:rsidR="00C476AF" w:rsidRPr="002E0C3F" w:rsidSect="002E0C3F">
      <w:headerReference w:type="default" r:id="rId8"/>
      <w:pgSz w:w="11906" w:h="16838"/>
      <w:pgMar w:top="1134" w:right="56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D1" w:rsidRDefault="00832AD1" w:rsidP="00AE705A">
      <w:pPr>
        <w:spacing w:after="0" w:line="240" w:lineRule="auto"/>
      </w:pPr>
      <w:r>
        <w:separator/>
      </w:r>
    </w:p>
  </w:endnote>
  <w:endnote w:type="continuationSeparator" w:id="0">
    <w:p w:rsidR="00832AD1" w:rsidRDefault="00832AD1" w:rsidP="00AE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D1" w:rsidRDefault="00832AD1" w:rsidP="00AE705A">
      <w:pPr>
        <w:spacing w:after="0" w:line="240" w:lineRule="auto"/>
      </w:pPr>
      <w:r>
        <w:separator/>
      </w:r>
    </w:p>
  </w:footnote>
  <w:footnote w:type="continuationSeparator" w:id="0">
    <w:p w:rsidR="00832AD1" w:rsidRDefault="00832AD1" w:rsidP="00AE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923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705A" w:rsidRPr="00AE705A" w:rsidRDefault="00AE70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70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70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70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E1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E70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705A" w:rsidRDefault="00AE70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24A"/>
    <w:multiLevelType w:val="hybridMultilevel"/>
    <w:tmpl w:val="9ABC89AE"/>
    <w:lvl w:ilvl="0" w:tplc="1EE0CC34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57"/>
    <w:rsid w:val="000021FC"/>
    <w:rsid w:val="00025E60"/>
    <w:rsid w:val="000862A3"/>
    <w:rsid w:val="000C117A"/>
    <w:rsid w:val="000E07C2"/>
    <w:rsid w:val="000F2001"/>
    <w:rsid w:val="00130A5E"/>
    <w:rsid w:val="00135657"/>
    <w:rsid w:val="00160FF4"/>
    <w:rsid w:val="001836BE"/>
    <w:rsid w:val="001D740F"/>
    <w:rsid w:val="00225A53"/>
    <w:rsid w:val="00236560"/>
    <w:rsid w:val="0025268F"/>
    <w:rsid w:val="002B1E1A"/>
    <w:rsid w:val="002B3AF8"/>
    <w:rsid w:val="002C67C8"/>
    <w:rsid w:val="002E0C3F"/>
    <w:rsid w:val="002F099B"/>
    <w:rsid w:val="0033109D"/>
    <w:rsid w:val="00357EE7"/>
    <w:rsid w:val="00383674"/>
    <w:rsid w:val="003B2722"/>
    <w:rsid w:val="003D7493"/>
    <w:rsid w:val="00400D1C"/>
    <w:rsid w:val="00442D9B"/>
    <w:rsid w:val="004669AA"/>
    <w:rsid w:val="004916B4"/>
    <w:rsid w:val="004D492C"/>
    <w:rsid w:val="004F357A"/>
    <w:rsid w:val="00531E1F"/>
    <w:rsid w:val="00561804"/>
    <w:rsid w:val="00567229"/>
    <w:rsid w:val="005855FA"/>
    <w:rsid w:val="005921FB"/>
    <w:rsid w:val="005A4B3F"/>
    <w:rsid w:val="005C4FED"/>
    <w:rsid w:val="005D3666"/>
    <w:rsid w:val="005E51FF"/>
    <w:rsid w:val="00676528"/>
    <w:rsid w:val="0067751C"/>
    <w:rsid w:val="006B0779"/>
    <w:rsid w:val="006B6B3A"/>
    <w:rsid w:val="006D0D2B"/>
    <w:rsid w:val="006D7A6C"/>
    <w:rsid w:val="0073034E"/>
    <w:rsid w:val="0073596D"/>
    <w:rsid w:val="00742DFB"/>
    <w:rsid w:val="0077092E"/>
    <w:rsid w:val="0077656C"/>
    <w:rsid w:val="0079671A"/>
    <w:rsid w:val="007D2B01"/>
    <w:rsid w:val="00806E62"/>
    <w:rsid w:val="00830FF6"/>
    <w:rsid w:val="00832AD1"/>
    <w:rsid w:val="0083722A"/>
    <w:rsid w:val="00870330"/>
    <w:rsid w:val="00876124"/>
    <w:rsid w:val="008C301D"/>
    <w:rsid w:val="008F70B1"/>
    <w:rsid w:val="009163B8"/>
    <w:rsid w:val="00963BB4"/>
    <w:rsid w:val="009C5D06"/>
    <w:rsid w:val="00A01801"/>
    <w:rsid w:val="00A14932"/>
    <w:rsid w:val="00A33DF2"/>
    <w:rsid w:val="00A34BAC"/>
    <w:rsid w:val="00A35D18"/>
    <w:rsid w:val="00A4083E"/>
    <w:rsid w:val="00A56BA8"/>
    <w:rsid w:val="00AA50B3"/>
    <w:rsid w:val="00AE4975"/>
    <w:rsid w:val="00AE705A"/>
    <w:rsid w:val="00B04AD7"/>
    <w:rsid w:val="00B1122B"/>
    <w:rsid w:val="00B913AE"/>
    <w:rsid w:val="00BA54AE"/>
    <w:rsid w:val="00BA7DE6"/>
    <w:rsid w:val="00BC2A89"/>
    <w:rsid w:val="00BE4C60"/>
    <w:rsid w:val="00C03309"/>
    <w:rsid w:val="00C476AF"/>
    <w:rsid w:val="00CC4A8D"/>
    <w:rsid w:val="00CD1520"/>
    <w:rsid w:val="00D21D86"/>
    <w:rsid w:val="00D53E14"/>
    <w:rsid w:val="00D55B99"/>
    <w:rsid w:val="00D677D7"/>
    <w:rsid w:val="00D90D3C"/>
    <w:rsid w:val="00DC1CDB"/>
    <w:rsid w:val="00DD0709"/>
    <w:rsid w:val="00DF7F2C"/>
    <w:rsid w:val="00E0311D"/>
    <w:rsid w:val="00E41911"/>
    <w:rsid w:val="00E46072"/>
    <w:rsid w:val="00E659BC"/>
    <w:rsid w:val="00E6667C"/>
    <w:rsid w:val="00E82771"/>
    <w:rsid w:val="00E849B0"/>
    <w:rsid w:val="00E8599F"/>
    <w:rsid w:val="00E85C1C"/>
    <w:rsid w:val="00E954CD"/>
    <w:rsid w:val="00EA3D76"/>
    <w:rsid w:val="00F32787"/>
    <w:rsid w:val="00F35D44"/>
    <w:rsid w:val="00F65B4F"/>
    <w:rsid w:val="00F9130B"/>
    <w:rsid w:val="00FC6B18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5CA1"/>
  <w15:docId w15:val="{EB2E1728-D3D3-4AE1-8FC5-33A0DAC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05A"/>
  </w:style>
  <w:style w:type="paragraph" w:styleId="a5">
    <w:name w:val="footer"/>
    <w:basedOn w:val="a"/>
    <w:link w:val="a6"/>
    <w:uiPriority w:val="99"/>
    <w:unhideWhenUsed/>
    <w:rsid w:val="00A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05A"/>
  </w:style>
  <w:style w:type="paragraph" w:styleId="a7">
    <w:name w:val="No Spacing"/>
    <w:uiPriority w:val="1"/>
    <w:qFormat/>
    <w:rsid w:val="0033109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8372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F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2EAF-E0D5-4408-8064-7E61E36B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6605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User</cp:lastModifiedBy>
  <cp:revision>60</cp:revision>
  <cp:lastPrinted>2024-09-10T11:49:00Z</cp:lastPrinted>
  <dcterms:created xsi:type="dcterms:W3CDTF">2023-12-07T08:15:00Z</dcterms:created>
  <dcterms:modified xsi:type="dcterms:W3CDTF">2026-01-28T07:36:00Z</dcterms:modified>
</cp:coreProperties>
</file>